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D73" w:rsidRDefault="00D36D73" w:rsidP="00D36D73">
      <w:pPr>
        <w:rPr>
          <w:rFonts w:ascii="Arial" w:hAnsi="Arial" w:cs="Arial"/>
        </w:rPr>
      </w:pPr>
      <w:r>
        <w:rPr>
          <w:rFonts w:ascii="Arial" w:hAnsi="Arial" w:cs="Arial"/>
        </w:rPr>
        <w:t>Our Ref</w:t>
      </w:r>
      <w:r>
        <w:rPr>
          <w:rFonts w:ascii="Arial" w:hAnsi="Arial" w:cs="Arial"/>
        </w:rPr>
        <w:tab/>
      </w:r>
      <w:r>
        <w:rPr>
          <w:rFonts w:ascii="Arial" w:hAnsi="Arial" w:cs="Arial"/>
        </w:rPr>
        <w:tab/>
        <w:t>:</w:t>
      </w:r>
      <w:r>
        <w:rPr>
          <w:rFonts w:ascii="Arial" w:hAnsi="Arial" w:cs="Arial"/>
        </w:rPr>
        <w:tab/>
      </w:r>
      <w:r>
        <w:rPr>
          <w:rFonts w:ascii="Arial" w:hAnsi="Arial" w:cs="Arial"/>
        </w:rPr>
        <w:tab/>
        <w:t>Ronald Bobroff</w:t>
      </w:r>
    </w:p>
    <w:p w:rsidR="00D36D73" w:rsidRDefault="00D36D73" w:rsidP="00D36D73">
      <w:pPr>
        <w:rPr>
          <w:rFonts w:ascii="Arial" w:hAnsi="Arial" w:cs="Arial"/>
        </w:rPr>
      </w:pPr>
      <w:proofErr w:type="gramStart"/>
      <w:r>
        <w:rPr>
          <w:rFonts w:ascii="Arial" w:hAnsi="Arial" w:cs="Arial"/>
        </w:rPr>
        <w:t>Your</w:t>
      </w:r>
      <w:proofErr w:type="gramEnd"/>
      <w:r>
        <w:rPr>
          <w:rFonts w:ascii="Arial" w:hAnsi="Arial" w:cs="Arial"/>
        </w:rPr>
        <w:t xml:space="preserve"> Ref</w:t>
      </w:r>
      <w:r>
        <w:rPr>
          <w:rFonts w:ascii="Arial" w:hAnsi="Arial" w:cs="Arial"/>
        </w:rPr>
        <w:tab/>
      </w:r>
      <w:r>
        <w:rPr>
          <w:rFonts w:ascii="Arial" w:hAnsi="Arial" w:cs="Arial"/>
        </w:rPr>
        <w:tab/>
        <w:t>:</w:t>
      </w:r>
      <w:r>
        <w:rPr>
          <w:rFonts w:ascii="Arial" w:hAnsi="Arial" w:cs="Arial"/>
        </w:rPr>
        <w:tab/>
      </w:r>
      <w:r>
        <w:rPr>
          <w:rFonts w:ascii="Arial" w:hAnsi="Arial" w:cs="Arial"/>
        </w:rPr>
        <w:tab/>
        <w:t>Ezra Goldstein</w:t>
      </w:r>
    </w:p>
    <w:p w:rsidR="00D36D73" w:rsidRDefault="00D36D73" w:rsidP="00D36D73">
      <w:pPr>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t>:</w:t>
      </w:r>
      <w:r>
        <w:rPr>
          <w:rFonts w:ascii="Arial" w:hAnsi="Arial" w:cs="Arial"/>
        </w:rPr>
        <w:tab/>
      </w:r>
      <w:r>
        <w:rPr>
          <w:rFonts w:ascii="Arial" w:hAnsi="Arial" w:cs="Arial"/>
        </w:rPr>
        <w:tab/>
        <w:t>27 September 2024</w:t>
      </w:r>
    </w:p>
    <w:p w:rsidR="00D36D73" w:rsidRPr="00D36D73" w:rsidRDefault="00D36D73">
      <w:pPr>
        <w:rPr>
          <w:rFonts w:ascii="Arial" w:hAnsi="Arial" w:cs="Arial"/>
        </w:rPr>
      </w:pPr>
    </w:p>
    <w:p w:rsidR="00582206" w:rsidRDefault="003D1F24" w:rsidP="003D1F24">
      <w:pPr>
        <w:tabs>
          <w:tab w:val="left" w:pos="2736"/>
        </w:tabs>
        <w:rPr>
          <w:rFonts w:ascii="Arial" w:hAnsi="Arial" w:cs="Arial"/>
        </w:rPr>
      </w:pPr>
      <w:r>
        <w:rPr>
          <w:rFonts w:ascii="Arial" w:hAnsi="Arial" w:cs="Arial"/>
        </w:rPr>
        <w:t>Dear Ezra</w:t>
      </w:r>
    </w:p>
    <w:p w:rsidR="003D1F24" w:rsidRPr="003D1F24" w:rsidRDefault="003D1F24">
      <w:pPr>
        <w:rPr>
          <w:rFonts w:ascii="Arial" w:hAnsi="Arial" w:cs="Arial"/>
          <w:b/>
          <w:u w:val="single"/>
        </w:rPr>
      </w:pPr>
      <w:r w:rsidRPr="003D1F24">
        <w:rPr>
          <w:rFonts w:ascii="Arial" w:hAnsi="Arial" w:cs="Arial"/>
          <w:b/>
          <w:u w:val="single"/>
        </w:rPr>
        <w:t>RE: JODY BELLON AFFIVAVIT</w:t>
      </w:r>
    </w:p>
    <w:p w:rsidR="009B0E78" w:rsidRPr="00D36D73" w:rsidRDefault="009B0E78">
      <w:pPr>
        <w:rPr>
          <w:rFonts w:ascii="Arial" w:hAnsi="Arial" w:cs="Arial"/>
        </w:rPr>
      </w:pPr>
      <w:r w:rsidRPr="00D36D73">
        <w:rPr>
          <w:rFonts w:ascii="Arial" w:hAnsi="Arial" w:cs="Arial"/>
        </w:rPr>
        <w:t xml:space="preserve">You will note in </w:t>
      </w:r>
      <w:r w:rsidR="00E506C6" w:rsidRPr="00D36D73">
        <w:rPr>
          <w:rFonts w:ascii="Arial" w:hAnsi="Arial" w:cs="Arial"/>
        </w:rPr>
        <w:t>Jo</w:t>
      </w:r>
      <w:r w:rsidRPr="00D36D73">
        <w:rPr>
          <w:rFonts w:ascii="Arial" w:hAnsi="Arial" w:cs="Arial"/>
        </w:rPr>
        <w:t>dy</w:t>
      </w:r>
      <w:r w:rsidR="00E506C6" w:rsidRPr="00D36D73">
        <w:rPr>
          <w:rFonts w:ascii="Arial" w:hAnsi="Arial" w:cs="Arial"/>
        </w:rPr>
        <w:t>’</w:t>
      </w:r>
      <w:r w:rsidRPr="00D36D73">
        <w:rPr>
          <w:rFonts w:ascii="Arial" w:hAnsi="Arial" w:cs="Arial"/>
        </w:rPr>
        <w:t>s affidavit</w:t>
      </w:r>
      <w:r w:rsidR="003E45E5" w:rsidRPr="00D36D73">
        <w:rPr>
          <w:rFonts w:ascii="Arial" w:hAnsi="Arial" w:cs="Arial"/>
        </w:rPr>
        <w:t xml:space="preserve">, </w:t>
      </w:r>
      <w:r w:rsidRPr="00D36D73">
        <w:rPr>
          <w:rFonts w:ascii="Arial" w:hAnsi="Arial" w:cs="Arial"/>
        </w:rPr>
        <w:t>again attached</w:t>
      </w:r>
      <w:r w:rsidR="0032766F">
        <w:rPr>
          <w:rFonts w:ascii="Arial" w:hAnsi="Arial" w:cs="Arial"/>
        </w:rPr>
        <w:t xml:space="preserve"> </w:t>
      </w:r>
      <w:hyperlink r:id="rId6" w:history="1">
        <w:r w:rsidR="0032766F" w:rsidRPr="0032766F">
          <w:rPr>
            <w:rStyle w:val="Hyperlink"/>
            <w:rFonts w:ascii="Arial" w:hAnsi="Arial" w:cs="Arial"/>
          </w:rPr>
          <w:t>(click here)</w:t>
        </w:r>
      </w:hyperlink>
      <w:r w:rsidRPr="00D36D73">
        <w:rPr>
          <w:rFonts w:ascii="Arial" w:hAnsi="Arial" w:cs="Arial"/>
        </w:rPr>
        <w:t xml:space="preserve"> that she was forced to sign Dis</w:t>
      </w:r>
      <w:r w:rsidR="00E506C6" w:rsidRPr="00D36D73">
        <w:rPr>
          <w:rFonts w:ascii="Arial" w:hAnsi="Arial" w:cs="Arial"/>
        </w:rPr>
        <w:t>co</w:t>
      </w:r>
      <w:r w:rsidRPr="00D36D73">
        <w:rPr>
          <w:rFonts w:ascii="Arial" w:hAnsi="Arial" w:cs="Arial"/>
        </w:rPr>
        <w:t>verys undertaking</w:t>
      </w:r>
      <w:r w:rsidR="0032766F">
        <w:rPr>
          <w:rFonts w:ascii="Arial" w:hAnsi="Arial" w:cs="Arial"/>
        </w:rPr>
        <w:t>.</w:t>
      </w:r>
    </w:p>
    <w:p w:rsidR="009B0E78" w:rsidRPr="00D36D73" w:rsidRDefault="00E506C6">
      <w:pPr>
        <w:rPr>
          <w:rFonts w:ascii="Arial" w:hAnsi="Arial" w:cs="Arial"/>
        </w:rPr>
      </w:pPr>
      <w:r w:rsidRPr="00D36D73">
        <w:rPr>
          <w:rFonts w:ascii="Arial" w:hAnsi="Arial" w:cs="Arial"/>
        </w:rPr>
        <w:t>Unfortunately</w:t>
      </w:r>
      <w:r w:rsidR="009B0E78" w:rsidRPr="00D36D73">
        <w:rPr>
          <w:rFonts w:ascii="Arial" w:hAnsi="Arial" w:cs="Arial"/>
        </w:rPr>
        <w:t xml:space="preserve"> whilst she makes</w:t>
      </w:r>
      <w:r w:rsidRPr="00D36D73">
        <w:rPr>
          <w:rFonts w:ascii="Arial" w:hAnsi="Arial" w:cs="Arial"/>
        </w:rPr>
        <w:t xml:space="preserve"> </w:t>
      </w:r>
      <w:r w:rsidR="009B0E78" w:rsidRPr="00D36D73">
        <w:rPr>
          <w:rFonts w:ascii="Arial" w:hAnsi="Arial" w:cs="Arial"/>
        </w:rPr>
        <w:t>mention</w:t>
      </w:r>
      <w:r w:rsidRPr="00D36D73">
        <w:rPr>
          <w:rFonts w:ascii="Arial" w:hAnsi="Arial" w:cs="Arial"/>
        </w:rPr>
        <w:t xml:space="preserve"> </w:t>
      </w:r>
      <w:r w:rsidR="009B0E78" w:rsidRPr="00D36D73">
        <w:rPr>
          <w:rFonts w:ascii="Arial" w:hAnsi="Arial" w:cs="Arial"/>
        </w:rPr>
        <w:t>of</w:t>
      </w:r>
      <w:r w:rsidRPr="00D36D73">
        <w:rPr>
          <w:rFonts w:ascii="Arial" w:hAnsi="Arial" w:cs="Arial"/>
        </w:rPr>
        <w:t xml:space="preserve"> </w:t>
      </w:r>
      <w:r w:rsidR="009B0E78" w:rsidRPr="00D36D73">
        <w:rPr>
          <w:rFonts w:ascii="Arial" w:hAnsi="Arial" w:cs="Arial"/>
        </w:rPr>
        <w:t>this in her</w:t>
      </w:r>
      <w:r w:rsidRPr="00D36D73">
        <w:rPr>
          <w:rFonts w:ascii="Arial" w:hAnsi="Arial" w:cs="Arial"/>
        </w:rPr>
        <w:t xml:space="preserve"> affidavit </w:t>
      </w:r>
      <w:r w:rsidR="009B0E78" w:rsidRPr="00D36D73">
        <w:rPr>
          <w:rFonts w:ascii="Arial" w:hAnsi="Arial" w:cs="Arial"/>
        </w:rPr>
        <w:t xml:space="preserve">we cannot </w:t>
      </w:r>
      <w:r w:rsidRPr="00D36D73">
        <w:rPr>
          <w:rFonts w:ascii="Arial" w:hAnsi="Arial" w:cs="Arial"/>
        </w:rPr>
        <w:t xml:space="preserve">find </w:t>
      </w:r>
      <w:r w:rsidR="009B0E78" w:rsidRPr="00D36D73">
        <w:rPr>
          <w:rFonts w:ascii="Arial" w:hAnsi="Arial" w:cs="Arial"/>
        </w:rPr>
        <w:t>same,</w:t>
      </w:r>
      <w:r w:rsidRPr="00D36D73">
        <w:rPr>
          <w:rFonts w:ascii="Arial" w:hAnsi="Arial" w:cs="Arial"/>
        </w:rPr>
        <w:t xml:space="preserve"> </w:t>
      </w:r>
      <w:r w:rsidR="009B0E78" w:rsidRPr="00D36D73">
        <w:rPr>
          <w:rFonts w:ascii="Arial" w:hAnsi="Arial" w:cs="Arial"/>
        </w:rPr>
        <w:t>which</w:t>
      </w:r>
      <w:r w:rsidRPr="00D36D73">
        <w:rPr>
          <w:rFonts w:ascii="Arial" w:hAnsi="Arial" w:cs="Arial"/>
        </w:rPr>
        <w:t xml:space="preserve"> </w:t>
      </w:r>
      <w:r w:rsidR="009B0E78" w:rsidRPr="00D36D73">
        <w:rPr>
          <w:rFonts w:ascii="Arial" w:hAnsi="Arial" w:cs="Arial"/>
        </w:rPr>
        <w:t>would have been in the possession of the Law Society.</w:t>
      </w:r>
    </w:p>
    <w:p w:rsidR="009B0E78" w:rsidRPr="00D36D73" w:rsidRDefault="009B0E78">
      <w:pPr>
        <w:rPr>
          <w:rFonts w:ascii="Arial" w:hAnsi="Arial" w:cs="Arial"/>
        </w:rPr>
      </w:pPr>
      <w:r w:rsidRPr="00D36D73">
        <w:rPr>
          <w:rFonts w:ascii="Arial" w:hAnsi="Arial" w:cs="Arial"/>
        </w:rPr>
        <w:t xml:space="preserve">However in 2007 when Mark was at a very early stage of recovery, and not entirely mentis </w:t>
      </w:r>
      <w:r w:rsidR="00E506C6" w:rsidRPr="00D36D73">
        <w:rPr>
          <w:rFonts w:ascii="Arial" w:hAnsi="Arial" w:cs="Arial"/>
        </w:rPr>
        <w:t>co</w:t>
      </w:r>
      <w:r w:rsidR="004E5714">
        <w:rPr>
          <w:rFonts w:ascii="Arial" w:hAnsi="Arial" w:cs="Arial"/>
        </w:rPr>
        <w:t>mpos</w:t>
      </w:r>
      <w:r w:rsidRPr="00D36D73">
        <w:rPr>
          <w:rFonts w:ascii="Arial" w:hAnsi="Arial" w:cs="Arial"/>
        </w:rPr>
        <w:t>, he was also forced to sign Discovery</w:t>
      </w:r>
      <w:r w:rsidR="004E5714">
        <w:rPr>
          <w:rFonts w:ascii="Arial" w:hAnsi="Arial" w:cs="Arial"/>
        </w:rPr>
        <w:t>’</w:t>
      </w:r>
      <w:r w:rsidRPr="00D36D73">
        <w:rPr>
          <w:rFonts w:ascii="Arial" w:hAnsi="Arial" w:cs="Arial"/>
        </w:rPr>
        <w:t xml:space="preserve">s undertaking </w:t>
      </w:r>
      <w:r w:rsidR="00E506C6" w:rsidRPr="00D36D73">
        <w:rPr>
          <w:rFonts w:ascii="Arial" w:hAnsi="Arial" w:cs="Arial"/>
        </w:rPr>
        <w:t>document</w:t>
      </w:r>
      <w:r w:rsidRPr="00D36D73">
        <w:rPr>
          <w:rFonts w:ascii="Arial" w:hAnsi="Arial" w:cs="Arial"/>
        </w:rPr>
        <w:t xml:space="preserve"> under further </w:t>
      </w:r>
      <w:r w:rsidR="00E506C6" w:rsidRPr="00D36D73">
        <w:rPr>
          <w:rFonts w:ascii="Arial" w:hAnsi="Arial" w:cs="Arial"/>
        </w:rPr>
        <w:t>threat</w:t>
      </w:r>
      <w:r w:rsidRPr="00D36D73">
        <w:rPr>
          <w:rFonts w:ascii="Arial" w:hAnsi="Arial" w:cs="Arial"/>
        </w:rPr>
        <w:t xml:space="preserve"> that absent him </w:t>
      </w:r>
      <w:r w:rsidR="00E506C6" w:rsidRPr="00D36D73">
        <w:rPr>
          <w:rFonts w:ascii="Arial" w:hAnsi="Arial" w:cs="Arial"/>
        </w:rPr>
        <w:t>doing</w:t>
      </w:r>
      <w:r w:rsidRPr="00D36D73">
        <w:rPr>
          <w:rFonts w:ascii="Arial" w:hAnsi="Arial" w:cs="Arial"/>
        </w:rPr>
        <w:t xml:space="preserve"> so </w:t>
      </w:r>
      <w:r w:rsidR="00E506C6" w:rsidRPr="00D36D73">
        <w:rPr>
          <w:rFonts w:ascii="Arial" w:hAnsi="Arial" w:cs="Arial"/>
        </w:rPr>
        <w:t>Discovery</w:t>
      </w:r>
      <w:r w:rsidRPr="00D36D73">
        <w:rPr>
          <w:rFonts w:ascii="Arial" w:hAnsi="Arial" w:cs="Arial"/>
        </w:rPr>
        <w:t xml:space="preserve"> would not pay for his ongoing treatment and rehabilitation.</w:t>
      </w:r>
      <w:r w:rsidR="0032766F">
        <w:rPr>
          <w:rFonts w:ascii="Arial" w:hAnsi="Arial" w:cs="Arial"/>
        </w:rPr>
        <w:t xml:space="preserve"> </w:t>
      </w:r>
      <w:hyperlink r:id="rId7" w:history="1">
        <w:r w:rsidR="0032766F" w:rsidRPr="0032766F">
          <w:rPr>
            <w:rStyle w:val="Hyperlink"/>
            <w:rFonts w:ascii="Arial" w:hAnsi="Arial" w:cs="Arial"/>
          </w:rPr>
          <w:t>Click here to view</w:t>
        </w:r>
      </w:hyperlink>
    </w:p>
    <w:p w:rsidR="009B0E78" w:rsidRPr="00D36D73" w:rsidRDefault="009B0E78">
      <w:pPr>
        <w:rPr>
          <w:rFonts w:ascii="Arial" w:hAnsi="Arial" w:cs="Arial"/>
        </w:rPr>
      </w:pPr>
      <w:r w:rsidRPr="00D36D73">
        <w:rPr>
          <w:rFonts w:ascii="Arial" w:hAnsi="Arial" w:cs="Arial"/>
        </w:rPr>
        <w:t xml:space="preserve">Perhaps the most egregious aspect of Katz and his direct boss </w:t>
      </w:r>
      <w:r w:rsidR="00E506C6" w:rsidRPr="00D36D73">
        <w:rPr>
          <w:rFonts w:ascii="Arial" w:hAnsi="Arial" w:cs="Arial"/>
        </w:rPr>
        <w:t>J</w:t>
      </w:r>
      <w:r w:rsidRPr="00D36D73">
        <w:rPr>
          <w:rFonts w:ascii="Arial" w:hAnsi="Arial" w:cs="Arial"/>
        </w:rPr>
        <w:t xml:space="preserve">onathon </w:t>
      </w:r>
      <w:proofErr w:type="spellStart"/>
      <w:r w:rsidRPr="00D36D73">
        <w:rPr>
          <w:rFonts w:ascii="Arial" w:hAnsi="Arial" w:cs="Arial"/>
        </w:rPr>
        <w:t>Broombergs</w:t>
      </w:r>
      <w:proofErr w:type="spellEnd"/>
      <w:r w:rsidRPr="00D36D73">
        <w:rPr>
          <w:rFonts w:ascii="Arial" w:hAnsi="Arial" w:cs="Arial"/>
        </w:rPr>
        <w:t xml:space="preserve"> </w:t>
      </w:r>
      <w:r w:rsidR="00E506C6" w:rsidRPr="00D36D73">
        <w:rPr>
          <w:rFonts w:ascii="Arial" w:hAnsi="Arial" w:cs="Arial"/>
        </w:rPr>
        <w:t>conduct</w:t>
      </w:r>
      <w:r w:rsidRPr="00D36D73">
        <w:rPr>
          <w:rFonts w:ascii="Arial" w:hAnsi="Arial" w:cs="Arial"/>
        </w:rPr>
        <w:t xml:space="preserve"> was to demand, after </w:t>
      </w:r>
      <w:r w:rsidR="00E506C6" w:rsidRPr="00D36D73">
        <w:rPr>
          <w:rFonts w:ascii="Arial" w:hAnsi="Arial" w:cs="Arial"/>
        </w:rPr>
        <w:t>Marks</w:t>
      </w:r>
      <w:r w:rsidRPr="00D36D73">
        <w:rPr>
          <w:rFonts w:ascii="Arial" w:hAnsi="Arial" w:cs="Arial"/>
        </w:rPr>
        <w:t xml:space="preserve"> claim against </w:t>
      </w:r>
      <w:r w:rsidR="00E506C6" w:rsidRPr="00D36D73">
        <w:rPr>
          <w:rFonts w:ascii="Arial" w:hAnsi="Arial" w:cs="Arial"/>
        </w:rPr>
        <w:t>the</w:t>
      </w:r>
      <w:r w:rsidRPr="00D36D73">
        <w:rPr>
          <w:rFonts w:ascii="Arial" w:hAnsi="Arial" w:cs="Arial"/>
        </w:rPr>
        <w:t xml:space="preserve"> RAF had been finalised, with an agreed 50% </w:t>
      </w:r>
      <w:r w:rsidR="00E506C6" w:rsidRPr="00D36D73">
        <w:rPr>
          <w:rFonts w:ascii="Arial" w:hAnsi="Arial" w:cs="Arial"/>
        </w:rPr>
        <w:t>apportionment</w:t>
      </w:r>
      <w:r w:rsidRPr="00D36D73">
        <w:rPr>
          <w:rFonts w:ascii="Arial" w:hAnsi="Arial" w:cs="Arial"/>
        </w:rPr>
        <w:t xml:space="preserve"> against him on the merits, given that he had no recollection whatsoever as</w:t>
      </w:r>
      <w:r w:rsidR="00E506C6" w:rsidRPr="00D36D73">
        <w:rPr>
          <w:rFonts w:ascii="Arial" w:hAnsi="Arial" w:cs="Arial"/>
        </w:rPr>
        <w:t xml:space="preserve"> </w:t>
      </w:r>
      <w:r w:rsidRPr="00D36D73">
        <w:rPr>
          <w:rFonts w:ascii="Arial" w:hAnsi="Arial" w:cs="Arial"/>
        </w:rPr>
        <w:t>to how the accident had occurred, and which was</w:t>
      </w:r>
      <w:r w:rsidR="00E506C6" w:rsidRPr="00D36D73">
        <w:rPr>
          <w:rFonts w:ascii="Arial" w:hAnsi="Arial" w:cs="Arial"/>
        </w:rPr>
        <w:t xml:space="preserve"> only</w:t>
      </w:r>
      <w:r w:rsidRPr="00D36D73">
        <w:rPr>
          <w:rFonts w:ascii="Arial" w:hAnsi="Arial" w:cs="Arial"/>
        </w:rPr>
        <w:t xml:space="preserve"> achieved thanks to </w:t>
      </w:r>
      <w:r w:rsidR="00E506C6" w:rsidRPr="00D36D73">
        <w:rPr>
          <w:rFonts w:ascii="Arial" w:hAnsi="Arial" w:cs="Arial"/>
        </w:rPr>
        <w:t>Darren’s</w:t>
      </w:r>
      <w:r w:rsidRPr="00D36D73">
        <w:rPr>
          <w:rFonts w:ascii="Arial" w:hAnsi="Arial" w:cs="Arial"/>
        </w:rPr>
        <w:t xml:space="preserve"> excellent relationship with the RAF’s attorneys, Katz and Broomberg nevertheless </w:t>
      </w:r>
      <w:proofErr w:type="gramStart"/>
      <w:r w:rsidRPr="00D36D73">
        <w:rPr>
          <w:rFonts w:ascii="Arial" w:hAnsi="Arial" w:cs="Arial"/>
        </w:rPr>
        <w:t>demanded</w:t>
      </w:r>
      <w:proofErr w:type="gramEnd"/>
      <w:r w:rsidRPr="00D36D73">
        <w:rPr>
          <w:rFonts w:ascii="Arial" w:hAnsi="Arial" w:cs="Arial"/>
        </w:rPr>
        <w:t xml:space="preserve"> </w:t>
      </w:r>
      <w:r w:rsidR="00E506C6" w:rsidRPr="00D36D73">
        <w:rPr>
          <w:rFonts w:ascii="Arial" w:hAnsi="Arial" w:cs="Arial"/>
        </w:rPr>
        <w:t>repayment</w:t>
      </w:r>
      <w:r w:rsidRPr="00D36D73">
        <w:rPr>
          <w:rFonts w:ascii="Arial" w:hAnsi="Arial" w:cs="Arial"/>
        </w:rPr>
        <w:t xml:space="preserve"> of all medical costs disbursed by Discovery in full.</w:t>
      </w:r>
    </w:p>
    <w:p w:rsidR="009B0E78" w:rsidRDefault="009B0E78">
      <w:pPr>
        <w:rPr>
          <w:rFonts w:ascii="Arial" w:hAnsi="Arial" w:cs="Arial"/>
        </w:rPr>
      </w:pPr>
      <w:r w:rsidRPr="00D36D73">
        <w:rPr>
          <w:rFonts w:ascii="Arial" w:hAnsi="Arial" w:cs="Arial"/>
        </w:rPr>
        <w:t xml:space="preserve">What I think I previously forget </w:t>
      </w:r>
      <w:r w:rsidR="00E506C6" w:rsidRPr="00D36D73">
        <w:rPr>
          <w:rFonts w:ascii="Arial" w:hAnsi="Arial" w:cs="Arial"/>
        </w:rPr>
        <w:t>to</w:t>
      </w:r>
      <w:r w:rsidRPr="00D36D73">
        <w:rPr>
          <w:rFonts w:ascii="Arial" w:hAnsi="Arial" w:cs="Arial"/>
        </w:rPr>
        <w:t xml:space="preserve"> mention to you, which you might find of relevance, is that the day after I had exposed Discovery Health administrators CEO DR Jonathon Broomberg as an out and out </w:t>
      </w:r>
      <w:r w:rsidR="00E506C6" w:rsidRPr="00D36D73">
        <w:rPr>
          <w:rFonts w:ascii="Arial" w:hAnsi="Arial" w:cs="Arial"/>
        </w:rPr>
        <w:t>liar</w:t>
      </w:r>
      <w:r w:rsidRPr="00D36D73">
        <w:rPr>
          <w:rFonts w:ascii="Arial" w:hAnsi="Arial" w:cs="Arial"/>
        </w:rPr>
        <w:t xml:space="preserve">, on John </w:t>
      </w:r>
      <w:r w:rsidR="00E506C6" w:rsidRPr="00D36D73">
        <w:rPr>
          <w:rFonts w:ascii="Arial" w:hAnsi="Arial" w:cs="Arial"/>
        </w:rPr>
        <w:t>Robbie’s</w:t>
      </w:r>
      <w:r w:rsidRPr="00D36D73">
        <w:rPr>
          <w:rFonts w:ascii="Arial" w:hAnsi="Arial" w:cs="Arial"/>
        </w:rPr>
        <w:t xml:space="preserve"> Talk Radio 702’s early morning show on 1 March 2012, the very next morning Discoverys attorneys ENS, had a summons served on Darren and I, as </w:t>
      </w:r>
      <w:r w:rsidR="00E506C6" w:rsidRPr="00D36D73">
        <w:rPr>
          <w:rFonts w:ascii="Arial" w:hAnsi="Arial" w:cs="Arial"/>
        </w:rPr>
        <w:t>also</w:t>
      </w:r>
      <w:r w:rsidRPr="00D36D73">
        <w:rPr>
          <w:rFonts w:ascii="Arial" w:hAnsi="Arial" w:cs="Arial"/>
        </w:rPr>
        <w:t xml:space="preserve"> Mark Bellon.</w:t>
      </w:r>
    </w:p>
    <w:p w:rsidR="008911B4" w:rsidRPr="00D36D73" w:rsidRDefault="008911B4">
      <w:pPr>
        <w:rPr>
          <w:rFonts w:ascii="Arial" w:hAnsi="Arial" w:cs="Arial"/>
        </w:rPr>
      </w:pPr>
      <w:r>
        <w:rPr>
          <w:rFonts w:ascii="Arial" w:hAnsi="Arial" w:cs="Arial"/>
        </w:rPr>
        <w:t>Pam will send through the Particulars of claim as soon as she finds it.</w:t>
      </w:r>
    </w:p>
    <w:p w:rsidR="009B0E78" w:rsidRPr="00D36D73" w:rsidRDefault="009B0E78">
      <w:pPr>
        <w:rPr>
          <w:rFonts w:ascii="Arial" w:hAnsi="Arial" w:cs="Arial"/>
        </w:rPr>
      </w:pPr>
      <w:r w:rsidRPr="00D36D73">
        <w:rPr>
          <w:rFonts w:ascii="Arial" w:hAnsi="Arial" w:cs="Arial"/>
        </w:rPr>
        <w:t xml:space="preserve">The claim </w:t>
      </w:r>
      <w:r w:rsidR="00E506C6" w:rsidRPr="00D36D73">
        <w:rPr>
          <w:rFonts w:ascii="Arial" w:hAnsi="Arial" w:cs="Arial"/>
        </w:rPr>
        <w:t>against</w:t>
      </w:r>
      <w:r w:rsidRPr="00D36D73">
        <w:rPr>
          <w:rFonts w:ascii="Arial" w:hAnsi="Arial" w:cs="Arial"/>
        </w:rPr>
        <w:t xml:space="preserve"> Mark was based on his signed undertaking, and also totally ignored the fact that due to the 50% apportionment, he would have only have received 50% of the past medical expenses paid by Discovery.</w:t>
      </w:r>
    </w:p>
    <w:p w:rsidR="009B0E78" w:rsidRPr="00D36D73" w:rsidRDefault="009B0E78">
      <w:pPr>
        <w:rPr>
          <w:rFonts w:ascii="Arial" w:hAnsi="Arial" w:cs="Arial"/>
        </w:rPr>
      </w:pPr>
      <w:r w:rsidRPr="00D36D73">
        <w:rPr>
          <w:rFonts w:ascii="Arial" w:hAnsi="Arial" w:cs="Arial"/>
        </w:rPr>
        <w:t xml:space="preserve">And then of course, our 25% contingency fee would have come off the top of the total </w:t>
      </w:r>
      <w:r w:rsidR="00E506C6" w:rsidRPr="00D36D73">
        <w:rPr>
          <w:rFonts w:ascii="Arial" w:hAnsi="Arial" w:cs="Arial"/>
        </w:rPr>
        <w:t>settlement</w:t>
      </w:r>
      <w:r w:rsidRPr="00D36D73">
        <w:rPr>
          <w:rFonts w:ascii="Arial" w:hAnsi="Arial" w:cs="Arial"/>
        </w:rPr>
        <w:t xml:space="preserve"> amount, yet </w:t>
      </w:r>
      <w:r w:rsidR="00E506C6" w:rsidRPr="00D36D73">
        <w:rPr>
          <w:rFonts w:ascii="Arial" w:hAnsi="Arial" w:cs="Arial"/>
        </w:rPr>
        <w:t>Discovery</w:t>
      </w:r>
      <w:r w:rsidRPr="00D36D73">
        <w:rPr>
          <w:rFonts w:ascii="Arial" w:hAnsi="Arial" w:cs="Arial"/>
        </w:rPr>
        <w:t xml:space="preserve"> made no offer to bear a proportional amount of the fee, by way of its being deducted from the reimbursement </w:t>
      </w:r>
      <w:r w:rsidR="00E506C6" w:rsidRPr="00D36D73">
        <w:rPr>
          <w:rFonts w:ascii="Arial" w:hAnsi="Arial" w:cs="Arial"/>
        </w:rPr>
        <w:t>being</w:t>
      </w:r>
      <w:r w:rsidRPr="00D36D73">
        <w:rPr>
          <w:rFonts w:ascii="Arial" w:hAnsi="Arial" w:cs="Arial"/>
        </w:rPr>
        <w:t xml:space="preserve"> demanded.</w:t>
      </w:r>
    </w:p>
    <w:p w:rsidR="009B0E78" w:rsidRDefault="00E506C6">
      <w:pPr>
        <w:rPr>
          <w:rFonts w:ascii="Arial" w:hAnsi="Arial" w:cs="Arial"/>
        </w:rPr>
      </w:pPr>
      <w:r w:rsidRPr="00D36D73">
        <w:rPr>
          <w:rFonts w:ascii="Arial" w:hAnsi="Arial" w:cs="Arial"/>
        </w:rPr>
        <w:t>Although it</w:t>
      </w:r>
      <w:r w:rsidR="009939AF" w:rsidRPr="00D36D73">
        <w:rPr>
          <w:rFonts w:ascii="Arial" w:hAnsi="Arial" w:cs="Arial"/>
        </w:rPr>
        <w:t xml:space="preserve"> spoilt </w:t>
      </w:r>
      <w:r w:rsidRPr="00D36D73">
        <w:rPr>
          <w:rFonts w:ascii="Arial" w:hAnsi="Arial" w:cs="Arial"/>
        </w:rPr>
        <w:t>Darren’s</w:t>
      </w:r>
      <w:r w:rsidR="009939AF" w:rsidRPr="00D36D73">
        <w:rPr>
          <w:rFonts w:ascii="Arial" w:hAnsi="Arial" w:cs="Arial"/>
        </w:rPr>
        <w:t xml:space="preserve"> birthday which is on the 2</w:t>
      </w:r>
      <w:r w:rsidR="009939AF" w:rsidRPr="00D36D73">
        <w:rPr>
          <w:rFonts w:ascii="Arial" w:hAnsi="Arial" w:cs="Arial"/>
          <w:vertAlign w:val="superscript"/>
        </w:rPr>
        <w:t>nd</w:t>
      </w:r>
      <w:r w:rsidR="009939AF" w:rsidRPr="00D36D73">
        <w:rPr>
          <w:rFonts w:ascii="Arial" w:hAnsi="Arial" w:cs="Arial"/>
        </w:rPr>
        <w:t xml:space="preserve"> March, I was </w:t>
      </w:r>
      <w:r w:rsidRPr="00D36D73">
        <w:rPr>
          <w:rFonts w:ascii="Arial" w:hAnsi="Arial" w:cs="Arial"/>
        </w:rPr>
        <w:t>absolutely</w:t>
      </w:r>
      <w:r w:rsidR="009939AF" w:rsidRPr="00D36D73">
        <w:rPr>
          <w:rFonts w:ascii="Arial" w:hAnsi="Arial" w:cs="Arial"/>
        </w:rPr>
        <w:t xml:space="preserve"> delighted </w:t>
      </w:r>
      <w:r w:rsidRPr="00D36D73">
        <w:rPr>
          <w:rFonts w:ascii="Arial" w:hAnsi="Arial" w:cs="Arial"/>
        </w:rPr>
        <w:t>because</w:t>
      </w:r>
      <w:r w:rsidR="009939AF" w:rsidRPr="00D36D73">
        <w:rPr>
          <w:rFonts w:ascii="Arial" w:hAnsi="Arial" w:cs="Arial"/>
        </w:rPr>
        <w:t xml:space="preserve"> in </w:t>
      </w:r>
      <w:r w:rsidRPr="00D36D73">
        <w:rPr>
          <w:rFonts w:ascii="Arial" w:hAnsi="Arial" w:cs="Arial"/>
        </w:rPr>
        <w:t>order</w:t>
      </w:r>
      <w:r w:rsidR="009939AF" w:rsidRPr="00D36D73">
        <w:rPr>
          <w:rFonts w:ascii="Arial" w:hAnsi="Arial" w:cs="Arial"/>
        </w:rPr>
        <w:t xml:space="preserve"> to prove the claim, </w:t>
      </w:r>
      <w:r w:rsidRPr="00D36D73">
        <w:rPr>
          <w:rFonts w:ascii="Arial" w:hAnsi="Arial" w:cs="Arial"/>
        </w:rPr>
        <w:t>Discovery</w:t>
      </w:r>
      <w:r w:rsidR="009939AF" w:rsidRPr="00D36D73">
        <w:rPr>
          <w:rFonts w:ascii="Arial" w:hAnsi="Arial" w:cs="Arial"/>
        </w:rPr>
        <w:t xml:space="preserve"> would have to demonstrate that if it had complied with the Medical Schemes Act, by way of its broker making the required disclosure to Mark and Jody as is required by regulation 28 </w:t>
      </w:r>
      <w:r w:rsidR="00E71E70">
        <w:rPr>
          <w:rFonts w:ascii="Arial" w:hAnsi="Arial" w:cs="Arial"/>
        </w:rPr>
        <w:t xml:space="preserve">(1) (h) </w:t>
      </w:r>
      <w:r w:rsidR="009939AF" w:rsidRPr="00D36D73">
        <w:rPr>
          <w:rFonts w:ascii="Arial" w:hAnsi="Arial" w:cs="Arial"/>
        </w:rPr>
        <w:t xml:space="preserve">to the </w:t>
      </w:r>
      <w:r w:rsidR="003E45E5" w:rsidRPr="00D36D73">
        <w:rPr>
          <w:rFonts w:ascii="Arial" w:hAnsi="Arial" w:cs="Arial"/>
        </w:rPr>
        <w:t>Medical</w:t>
      </w:r>
      <w:r w:rsidR="009939AF" w:rsidRPr="00D36D73">
        <w:rPr>
          <w:rFonts w:ascii="Arial" w:hAnsi="Arial" w:cs="Arial"/>
        </w:rPr>
        <w:t xml:space="preserve"> </w:t>
      </w:r>
      <w:r w:rsidR="003E45E5" w:rsidRPr="00D36D73">
        <w:rPr>
          <w:rFonts w:ascii="Arial" w:hAnsi="Arial" w:cs="Arial"/>
        </w:rPr>
        <w:t>Schemes</w:t>
      </w:r>
      <w:r w:rsidR="009939AF" w:rsidRPr="00D36D73">
        <w:rPr>
          <w:rFonts w:ascii="Arial" w:hAnsi="Arial" w:cs="Arial"/>
        </w:rPr>
        <w:t xml:space="preserve"> Act of 1998 </w:t>
      </w:r>
      <w:r w:rsidR="00E71E70">
        <w:rPr>
          <w:rFonts w:ascii="Arial" w:hAnsi="Arial" w:cs="Arial"/>
        </w:rPr>
        <w:lastRenderedPageBreak/>
        <w:t xml:space="preserve">and which requires the broker to “provide best advice and act at all times in good faith towards the member, the prospective member and the Medical Scheme concerned”. The term good faith would require upfront disclosure of exclusions or conditions attaching to the right to receive medical care in specified circumstances. </w:t>
      </w:r>
      <w:proofErr w:type="gramStart"/>
      <w:r w:rsidR="00E71E70">
        <w:rPr>
          <w:rFonts w:ascii="Arial" w:hAnsi="Arial" w:cs="Arial"/>
        </w:rPr>
        <w:t>e.g</w:t>
      </w:r>
      <w:proofErr w:type="gramEnd"/>
      <w:r w:rsidR="00E71E70">
        <w:rPr>
          <w:rFonts w:ascii="Arial" w:hAnsi="Arial" w:cs="Arial"/>
        </w:rPr>
        <w:t>. the road accident generated medical costs are subjected to such exclusions or conditions.</w:t>
      </w:r>
    </w:p>
    <w:p w:rsidR="009939AF" w:rsidRPr="00D36D73" w:rsidRDefault="009939AF">
      <w:pPr>
        <w:rPr>
          <w:rFonts w:ascii="Arial" w:hAnsi="Arial" w:cs="Arial"/>
        </w:rPr>
      </w:pPr>
      <w:r w:rsidRPr="00D36D73">
        <w:rPr>
          <w:rFonts w:ascii="Arial" w:hAnsi="Arial" w:cs="Arial"/>
        </w:rPr>
        <w:t xml:space="preserve">Further that Mark and Jody had been sent </w:t>
      </w:r>
      <w:r w:rsidR="00E71E70">
        <w:rPr>
          <w:rFonts w:ascii="Arial" w:hAnsi="Arial" w:cs="Arial"/>
        </w:rPr>
        <w:t>a detailed summary of the rules specifying such member’s rights and obligation”</w:t>
      </w:r>
      <w:r w:rsidR="00E506C6" w:rsidRPr="00D36D73">
        <w:rPr>
          <w:rFonts w:ascii="Arial" w:hAnsi="Arial" w:cs="Arial"/>
        </w:rPr>
        <w:t xml:space="preserve"> </w:t>
      </w:r>
      <w:r w:rsidRPr="00D36D73">
        <w:rPr>
          <w:rFonts w:ascii="Arial" w:hAnsi="Arial" w:cs="Arial"/>
        </w:rPr>
        <w:t xml:space="preserve">which is a peremptory requirement </w:t>
      </w:r>
      <w:r w:rsidR="003D1F24">
        <w:rPr>
          <w:rFonts w:ascii="Arial" w:hAnsi="Arial" w:cs="Arial"/>
        </w:rPr>
        <w:t xml:space="preserve">in terms </w:t>
      </w:r>
      <w:r w:rsidRPr="00D36D73">
        <w:rPr>
          <w:rFonts w:ascii="Arial" w:hAnsi="Arial" w:cs="Arial"/>
        </w:rPr>
        <w:t xml:space="preserve">of </w:t>
      </w:r>
      <w:r w:rsidR="00E71E70">
        <w:rPr>
          <w:rFonts w:ascii="Arial" w:hAnsi="Arial" w:cs="Arial"/>
        </w:rPr>
        <w:t>section 30 (2) (a)</w:t>
      </w:r>
      <w:r w:rsidR="003D1F24">
        <w:rPr>
          <w:rFonts w:ascii="Arial" w:hAnsi="Arial" w:cs="Arial"/>
        </w:rPr>
        <w:t xml:space="preserve"> of the Act.</w:t>
      </w:r>
    </w:p>
    <w:p w:rsidR="009939AF" w:rsidRPr="00D36D73" w:rsidRDefault="009939AF">
      <w:pPr>
        <w:rPr>
          <w:rFonts w:ascii="Arial" w:hAnsi="Arial" w:cs="Arial"/>
        </w:rPr>
      </w:pPr>
      <w:r w:rsidRPr="00D36D73">
        <w:rPr>
          <w:rFonts w:ascii="Arial" w:hAnsi="Arial" w:cs="Arial"/>
        </w:rPr>
        <w:t xml:space="preserve">Imagine the impact on </w:t>
      </w:r>
      <w:r w:rsidR="00E506C6" w:rsidRPr="00D36D73">
        <w:rPr>
          <w:rFonts w:ascii="Arial" w:hAnsi="Arial" w:cs="Arial"/>
        </w:rPr>
        <w:t>Discovery</w:t>
      </w:r>
      <w:r w:rsidRPr="00D36D73">
        <w:rPr>
          <w:rFonts w:ascii="Arial" w:hAnsi="Arial" w:cs="Arial"/>
        </w:rPr>
        <w:t xml:space="preserve"> Health of us calling scores if not hundreds of our and SAAPIL members clients who had suffered the same oppression, and fraudulent </w:t>
      </w:r>
      <w:r w:rsidR="00E506C6" w:rsidRPr="00D36D73">
        <w:rPr>
          <w:rFonts w:ascii="Arial" w:hAnsi="Arial" w:cs="Arial"/>
        </w:rPr>
        <w:t>non-disclosure</w:t>
      </w:r>
      <w:r w:rsidRPr="00D36D73">
        <w:rPr>
          <w:rFonts w:ascii="Arial" w:hAnsi="Arial" w:cs="Arial"/>
        </w:rPr>
        <w:t xml:space="preserve"> at the hands of </w:t>
      </w:r>
      <w:r w:rsidR="00E506C6" w:rsidRPr="00D36D73">
        <w:rPr>
          <w:rFonts w:ascii="Arial" w:hAnsi="Arial" w:cs="Arial"/>
        </w:rPr>
        <w:t>Discovery</w:t>
      </w:r>
      <w:r w:rsidRPr="00D36D73">
        <w:rPr>
          <w:rFonts w:ascii="Arial" w:hAnsi="Arial" w:cs="Arial"/>
        </w:rPr>
        <w:t xml:space="preserve"> Health.</w:t>
      </w:r>
    </w:p>
    <w:p w:rsidR="009939AF" w:rsidRPr="00D36D73" w:rsidRDefault="009939AF">
      <w:pPr>
        <w:rPr>
          <w:rFonts w:ascii="Arial" w:hAnsi="Arial" w:cs="Arial"/>
        </w:rPr>
      </w:pPr>
      <w:r w:rsidRPr="00D36D73">
        <w:rPr>
          <w:rFonts w:ascii="Arial" w:hAnsi="Arial" w:cs="Arial"/>
        </w:rPr>
        <w:t xml:space="preserve">And of course we would have instructed our professional indemnity insurer attorneys – (we referred the summons to our </w:t>
      </w:r>
      <w:r w:rsidR="00E506C6" w:rsidRPr="00D36D73">
        <w:rPr>
          <w:rFonts w:ascii="Arial" w:hAnsi="Arial" w:cs="Arial"/>
        </w:rPr>
        <w:t>insurers</w:t>
      </w:r>
      <w:r w:rsidRPr="00D36D73">
        <w:rPr>
          <w:rFonts w:ascii="Arial" w:hAnsi="Arial" w:cs="Arial"/>
        </w:rPr>
        <w:t>, and they appointed</w:t>
      </w:r>
      <w:r w:rsidR="00E506C6" w:rsidRPr="00D36D73">
        <w:rPr>
          <w:rFonts w:ascii="Arial" w:hAnsi="Arial" w:cs="Arial"/>
        </w:rPr>
        <w:t xml:space="preserve"> </w:t>
      </w:r>
      <w:r w:rsidRPr="00D36D73">
        <w:rPr>
          <w:rFonts w:ascii="Arial" w:hAnsi="Arial" w:cs="Arial"/>
        </w:rPr>
        <w:t>attorney and counsel</w:t>
      </w:r>
      <w:r w:rsidR="00E506C6" w:rsidRPr="00D36D73">
        <w:rPr>
          <w:rFonts w:ascii="Arial" w:hAnsi="Arial" w:cs="Arial"/>
        </w:rPr>
        <w:t xml:space="preserve"> </w:t>
      </w:r>
      <w:r w:rsidRPr="00D36D73">
        <w:rPr>
          <w:rFonts w:ascii="Arial" w:hAnsi="Arial" w:cs="Arial"/>
        </w:rPr>
        <w:t xml:space="preserve">to represent us in terms of our policy), to serve a subpoena in terms of </w:t>
      </w:r>
      <w:r w:rsidR="00E506C6" w:rsidRPr="00D36D73">
        <w:rPr>
          <w:rFonts w:ascii="Arial" w:hAnsi="Arial" w:cs="Arial"/>
        </w:rPr>
        <w:t>rule</w:t>
      </w:r>
      <w:r w:rsidRPr="00D36D73">
        <w:rPr>
          <w:rFonts w:ascii="Arial" w:hAnsi="Arial" w:cs="Arial"/>
        </w:rPr>
        <w:t xml:space="preserve"> 38 </w:t>
      </w:r>
      <w:proofErr w:type="spellStart"/>
      <w:r w:rsidRPr="003D1F24">
        <w:rPr>
          <w:rFonts w:ascii="Arial" w:hAnsi="Arial" w:cs="Arial"/>
          <w:i/>
        </w:rPr>
        <w:t>duces</w:t>
      </w:r>
      <w:proofErr w:type="spellEnd"/>
      <w:r w:rsidRPr="003D1F24">
        <w:rPr>
          <w:rFonts w:ascii="Arial" w:hAnsi="Arial" w:cs="Arial"/>
          <w:i/>
        </w:rPr>
        <w:t xml:space="preserve"> </w:t>
      </w:r>
      <w:proofErr w:type="spellStart"/>
      <w:r w:rsidRPr="003D1F24">
        <w:rPr>
          <w:rFonts w:ascii="Arial" w:hAnsi="Arial" w:cs="Arial"/>
          <w:i/>
        </w:rPr>
        <w:t>tecum</w:t>
      </w:r>
      <w:proofErr w:type="spellEnd"/>
      <w:r w:rsidRPr="00D36D73">
        <w:rPr>
          <w:rFonts w:ascii="Arial" w:hAnsi="Arial" w:cs="Arial"/>
        </w:rPr>
        <w:t xml:space="preserve"> requiring Discovery to produce decades</w:t>
      </w:r>
      <w:r w:rsidR="00E506C6" w:rsidRPr="00D36D73">
        <w:rPr>
          <w:rFonts w:ascii="Arial" w:hAnsi="Arial" w:cs="Arial"/>
        </w:rPr>
        <w:t xml:space="preserve"> </w:t>
      </w:r>
      <w:r w:rsidRPr="00D36D73">
        <w:rPr>
          <w:rFonts w:ascii="Arial" w:hAnsi="Arial" w:cs="Arial"/>
        </w:rPr>
        <w:t>long proof of their compliance with the Medical Schemes Act in respect of hundreds</w:t>
      </w:r>
      <w:r w:rsidR="00E506C6" w:rsidRPr="00D36D73">
        <w:rPr>
          <w:rFonts w:ascii="Arial" w:hAnsi="Arial" w:cs="Arial"/>
        </w:rPr>
        <w:t xml:space="preserve"> </w:t>
      </w:r>
      <w:r w:rsidRPr="00D36D73">
        <w:rPr>
          <w:rFonts w:ascii="Arial" w:hAnsi="Arial" w:cs="Arial"/>
        </w:rPr>
        <w:t>if not thousands of their members.</w:t>
      </w:r>
    </w:p>
    <w:p w:rsidR="009939AF" w:rsidRPr="00D36D73" w:rsidRDefault="009939AF">
      <w:pPr>
        <w:rPr>
          <w:rFonts w:ascii="Arial" w:hAnsi="Arial" w:cs="Arial"/>
        </w:rPr>
      </w:pPr>
      <w:r w:rsidRPr="00D36D73">
        <w:rPr>
          <w:rFonts w:ascii="Arial" w:hAnsi="Arial" w:cs="Arial"/>
        </w:rPr>
        <w:t xml:space="preserve">And both our attorney and advocate </w:t>
      </w:r>
      <w:r w:rsidR="00E506C6" w:rsidRPr="00D36D73">
        <w:rPr>
          <w:rFonts w:ascii="Arial" w:hAnsi="Arial" w:cs="Arial"/>
        </w:rPr>
        <w:t>Hilton</w:t>
      </w:r>
      <w:r w:rsidRPr="00D36D73">
        <w:rPr>
          <w:rFonts w:ascii="Arial" w:hAnsi="Arial" w:cs="Arial"/>
        </w:rPr>
        <w:t xml:space="preserve"> Epstein S.C who were forthright in recognising Gore, Broomberg and </w:t>
      </w:r>
      <w:proofErr w:type="spellStart"/>
      <w:r w:rsidRPr="00D36D73">
        <w:rPr>
          <w:rFonts w:ascii="Arial" w:hAnsi="Arial" w:cs="Arial"/>
        </w:rPr>
        <w:t>Swartzberg</w:t>
      </w:r>
      <w:proofErr w:type="spellEnd"/>
      <w:r w:rsidRPr="00D36D73">
        <w:rPr>
          <w:rFonts w:ascii="Arial" w:hAnsi="Arial" w:cs="Arial"/>
        </w:rPr>
        <w:t xml:space="preserve"> as fraudsters, supported my proposal that the three be subpoenaed as witnesses, and immediately appeared reluctant to answer questions put to them – as would obviously </w:t>
      </w:r>
      <w:r w:rsidR="00E506C6" w:rsidRPr="00D36D73">
        <w:rPr>
          <w:rFonts w:ascii="Arial" w:hAnsi="Arial" w:cs="Arial"/>
        </w:rPr>
        <w:t>been</w:t>
      </w:r>
      <w:r w:rsidRPr="00D36D73">
        <w:rPr>
          <w:rFonts w:ascii="Arial" w:hAnsi="Arial" w:cs="Arial"/>
        </w:rPr>
        <w:t xml:space="preserve"> the case, we would immediately seek an order that they be declared hostile witnesses, so that they could be cross examined.</w:t>
      </w:r>
    </w:p>
    <w:p w:rsidR="009939AF" w:rsidRPr="00D36D73" w:rsidRDefault="009939AF">
      <w:pPr>
        <w:rPr>
          <w:rFonts w:ascii="Arial" w:hAnsi="Arial" w:cs="Arial"/>
        </w:rPr>
      </w:pPr>
      <w:r w:rsidRPr="00D36D73">
        <w:rPr>
          <w:rFonts w:ascii="Arial" w:hAnsi="Arial" w:cs="Arial"/>
        </w:rPr>
        <w:t xml:space="preserve">To put it colloquially our defence </w:t>
      </w:r>
      <w:r w:rsidRPr="00D36D73">
        <w:rPr>
          <w:rFonts w:ascii="Arial" w:hAnsi="Arial" w:cs="Arial"/>
          <w:i/>
        </w:rPr>
        <w:t>got going like a Boeing</w:t>
      </w:r>
      <w:r w:rsidRPr="00D36D73">
        <w:rPr>
          <w:rFonts w:ascii="Arial" w:hAnsi="Arial" w:cs="Arial"/>
        </w:rPr>
        <w:t xml:space="preserve">, and to my utter dismay, ten days before trial ENS cooked up some feeble excuse for a postponement, tendered all wasted costs, and off the record made it clear that they would never </w:t>
      </w:r>
      <w:r w:rsidR="0032766F" w:rsidRPr="00D36D73">
        <w:rPr>
          <w:rFonts w:ascii="Arial" w:hAnsi="Arial" w:cs="Arial"/>
        </w:rPr>
        <w:t>re</w:t>
      </w:r>
      <w:r w:rsidR="0032766F">
        <w:rPr>
          <w:rFonts w:ascii="Arial" w:hAnsi="Arial" w:cs="Arial"/>
        </w:rPr>
        <w:t>-</w:t>
      </w:r>
      <w:r w:rsidR="0032766F" w:rsidRPr="00D36D73">
        <w:rPr>
          <w:rFonts w:ascii="Arial" w:hAnsi="Arial" w:cs="Arial"/>
        </w:rPr>
        <w:t>enro</w:t>
      </w:r>
      <w:r w:rsidR="0032766F">
        <w:rPr>
          <w:rFonts w:ascii="Arial" w:hAnsi="Arial" w:cs="Arial"/>
        </w:rPr>
        <w:t>l</w:t>
      </w:r>
      <w:r w:rsidRPr="00D36D73">
        <w:rPr>
          <w:rFonts w:ascii="Arial" w:hAnsi="Arial" w:cs="Arial"/>
        </w:rPr>
        <w:t xml:space="preserve"> the matter.</w:t>
      </w:r>
    </w:p>
    <w:p w:rsidR="009939AF" w:rsidRPr="00D36D73" w:rsidRDefault="009939AF">
      <w:pPr>
        <w:rPr>
          <w:rFonts w:ascii="Arial" w:hAnsi="Arial" w:cs="Arial"/>
        </w:rPr>
      </w:pPr>
      <w:r w:rsidRPr="00D36D73">
        <w:rPr>
          <w:rFonts w:ascii="Arial" w:hAnsi="Arial" w:cs="Arial"/>
        </w:rPr>
        <w:t>I was dead against agreeing to a postponement, but our attorney and counsel had been appointed by the insurers, whose sole concern was to avoid paying our any claim against us should it succeed, and they were delighted to be let off the hook.</w:t>
      </w:r>
    </w:p>
    <w:p w:rsidR="00D41C76" w:rsidRPr="00D36D73" w:rsidRDefault="00D41C76">
      <w:pPr>
        <w:rPr>
          <w:rFonts w:ascii="Arial" w:hAnsi="Arial" w:cs="Arial"/>
        </w:rPr>
      </w:pPr>
      <w:r w:rsidRPr="00D36D73">
        <w:rPr>
          <w:rFonts w:ascii="Arial" w:hAnsi="Arial" w:cs="Arial"/>
        </w:rPr>
        <w:t xml:space="preserve">Mark and Jody Bellon insisted that we should enrol the matter for allocation of a fresh trial date, but by then in 2015, our lives were in chaos, our practice was collapsing under Millar and van Niekerk’s onslaught, and counsel who we had briefed to represent the </w:t>
      </w:r>
      <w:proofErr w:type="spellStart"/>
      <w:r w:rsidRPr="00D36D73">
        <w:rPr>
          <w:rFonts w:ascii="Arial" w:hAnsi="Arial" w:cs="Arial"/>
        </w:rPr>
        <w:t>Bellons</w:t>
      </w:r>
      <w:proofErr w:type="spellEnd"/>
      <w:r w:rsidRPr="00D36D73">
        <w:rPr>
          <w:rFonts w:ascii="Arial" w:hAnsi="Arial" w:cs="Arial"/>
        </w:rPr>
        <w:t xml:space="preserve"> – our insurers naturally represented Darren and I and RBP </w:t>
      </w:r>
      <w:proofErr w:type="spellStart"/>
      <w:r w:rsidRPr="00D36D73">
        <w:rPr>
          <w:rFonts w:ascii="Arial" w:hAnsi="Arial" w:cs="Arial"/>
        </w:rPr>
        <w:t>Inc</w:t>
      </w:r>
      <w:proofErr w:type="spellEnd"/>
      <w:r w:rsidRPr="00D36D73">
        <w:rPr>
          <w:rFonts w:ascii="Arial" w:hAnsi="Arial" w:cs="Arial"/>
        </w:rPr>
        <w:t>, so that I simply had neither the will, energy or money to take on yet another onslaught – although if I had been able to source from amongst the counsel we regularly briefed, and who had all grown rich and fat from the cornucopia of work emanating from our practice, every single one was too cowardly to take on Discovery, and like rats leaving a sinking ship we actively soliciting instructions from other plaintiff attorneys.</w:t>
      </w:r>
    </w:p>
    <w:p w:rsidR="009939AF" w:rsidRDefault="00D41C76">
      <w:pPr>
        <w:rPr>
          <w:rFonts w:ascii="Arial" w:hAnsi="Arial" w:cs="Arial"/>
        </w:rPr>
      </w:pPr>
      <w:r w:rsidRPr="00D36D73">
        <w:rPr>
          <w:rFonts w:ascii="Arial" w:hAnsi="Arial" w:cs="Arial"/>
        </w:rPr>
        <w:t xml:space="preserve">Astonishingly but unsurprisingly advocate Justin Erasmus, who received instructions from one of </w:t>
      </w:r>
      <w:r w:rsidR="00E506C6" w:rsidRPr="00D36D73">
        <w:rPr>
          <w:rFonts w:ascii="Arial" w:hAnsi="Arial" w:cs="Arial"/>
        </w:rPr>
        <w:t>our</w:t>
      </w:r>
      <w:r w:rsidRPr="00D36D73">
        <w:rPr>
          <w:rFonts w:ascii="Arial" w:hAnsi="Arial" w:cs="Arial"/>
        </w:rPr>
        <w:t xml:space="preserve"> </w:t>
      </w:r>
      <w:r w:rsidR="00E506C6" w:rsidRPr="00D36D73">
        <w:rPr>
          <w:rFonts w:ascii="Arial" w:hAnsi="Arial" w:cs="Arial"/>
        </w:rPr>
        <w:t>senior</w:t>
      </w:r>
      <w:r w:rsidRPr="00D36D73">
        <w:rPr>
          <w:rFonts w:ascii="Arial" w:hAnsi="Arial" w:cs="Arial"/>
        </w:rPr>
        <w:t xml:space="preserve"> PA</w:t>
      </w:r>
      <w:r w:rsidR="0032766F">
        <w:rPr>
          <w:rFonts w:ascii="Arial" w:hAnsi="Arial" w:cs="Arial"/>
        </w:rPr>
        <w:t>’s</w:t>
      </w:r>
      <w:r w:rsidRPr="00D36D73">
        <w:rPr>
          <w:rFonts w:ascii="Arial" w:hAnsi="Arial" w:cs="Arial"/>
        </w:rPr>
        <w:t xml:space="preserve"> – </w:t>
      </w:r>
      <w:proofErr w:type="spellStart"/>
      <w:r w:rsidRPr="00D36D73">
        <w:rPr>
          <w:rFonts w:ascii="Arial" w:hAnsi="Arial" w:cs="Arial"/>
        </w:rPr>
        <w:t>Phillipa</w:t>
      </w:r>
      <w:proofErr w:type="spellEnd"/>
      <w:r w:rsidRPr="00D36D73">
        <w:rPr>
          <w:rFonts w:ascii="Arial" w:hAnsi="Arial" w:cs="Arial"/>
        </w:rPr>
        <w:t xml:space="preserve"> </w:t>
      </w:r>
      <w:proofErr w:type="spellStart"/>
      <w:r w:rsidRPr="00D36D73">
        <w:rPr>
          <w:rFonts w:ascii="Arial" w:hAnsi="Arial" w:cs="Arial"/>
        </w:rPr>
        <w:t>Farraj</w:t>
      </w:r>
      <w:proofErr w:type="spellEnd"/>
      <w:r w:rsidRPr="00D36D73">
        <w:rPr>
          <w:rFonts w:ascii="Arial" w:hAnsi="Arial" w:cs="Arial"/>
        </w:rPr>
        <w:t xml:space="preserve"> – in 90% of her matters, and whose monthly fee </w:t>
      </w:r>
      <w:r w:rsidR="00E506C6" w:rsidRPr="00D36D73">
        <w:rPr>
          <w:rFonts w:ascii="Arial" w:hAnsi="Arial" w:cs="Arial"/>
        </w:rPr>
        <w:t>cheque</w:t>
      </w:r>
      <w:r w:rsidRPr="00D36D73">
        <w:rPr>
          <w:rFonts w:ascii="Arial" w:hAnsi="Arial" w:cs="Arial"/>
        </w:rPr>
        <w:t xml:space="preserve"> was seldom than R100 000per month, had been conspiring </w:t>
      </w:r>
      <w:r w:rsidR="00E506C6" w:rsidRPr="00D36D73">
        <w:rPr>
          <w:rFonts w:ascii="Arial" w:hAnsi="Arial" w:cs="Arial"/>
        </w:rPr>
        <w:t>with</w:t>
      </w:r>
      <w:r w:rsidRPr="00D36D73">
        <w:rPr>
          <w:rFonts w:ascii="Arial" w:hAnsi="Arial" w:cs="Arial"/>
        </w:rPr>
        <w:t xml:space="preserve"> Millar </w:t>
      </w:r>
      <w:r w:rsidR="00E506C6" w:rsidRPr="00D36D73">
        <w:rPr>
          <w:rFonts w:ascii="Arial" w:hAnsi="Arial" w:cs="Arial"/>
        </w:rPr>
        <w:t>behind</w:t>
      </w:r>
      <w:r w:rsidRPr="00D36D73">
        <w:rPr>
          <w:rFonts w:ascii="Arial" w:hAnsi="Arial" w:cs="Arial"/>
        </w:rPr>
        <w:t xml:space="preserve"> our </w:t>
      </w:r>
      <w:r w:rsidRPr="00D36D73">
        <w:rPr>
          <w:rFonts w:ascii="Arial" w:hAnsi="Arial" w:cs="Arial"/>
        </w:rPr>
        <w:lastRenderedPageBreak/>
        <w:t xml:space="preserve">backs from 2015 onwards, and literally within days of our leaving that he had represented RBP in most of the remaining attacks by Millar on our contingency fee agreements – suddenly popped up in matters, but now being instructed by </w:t>
      </w:r>
      <w:r w:rsidR="00E506C6" w:rsidRPr="00D36D73">
        <w:rPr>
          <w:rFonts w:ascii="Arial" w:hAnsi="Arial" w:cs="Arial"/>
        </w:rPr>
        <w:t>Millar</w:t>
      </w:r>
      <w:r w:rsidRPr="00D36D73">
        <w:rPr>
          <w:rFonts w:ascii="Arial" w:hAnsi="Arial" w:cs="Arial"/>
        </w:rPr>
        <w:t xml:space="preserve"> for the applicants.</w:t>
      </w:r>
    </w:p>
    <w:p w:rsidR="003D1F24" w:rsidRDefault="003D1F24">
      <w:pPr>
        <w:rPr>
          <w:rFonts w:ascii="Arial" w:hAnsi="Arial" w:cs="Arial"/>
        </w:rPr>
      </w:pPr>
    </w:p>
    <w:p w:rsidR="003D1F24" w:rsidRDefault="003D1F24">
      <w:pPr>
        <w:rPr>
          <w:rFonts w:ascii="Arial" w:hAnsi="Arial" w:cs="Arial"/>
        </w:rPr>
      </w:pPr>
      <w:r>
        <w:rPr>
          <w:rFonts w:ascii="Arial" w:hAnsi="Arial" w:cs="Arial"/>
        </w:rPr>
        <w:t>Kind Regards</w:t>
      </w:r>
    </w:p>
    <w:p w:rsidR="003D1F24" w:rsidRDefault="003D1F24">
      <w:pPr>
        <w:rPr>
          <w:rFonts w:ascii="Arial" w:hAnsi="Arial" w:cs="Arial"/>
        </w:rPr>
      </w:pPr>
    </w:p>
    <w:p w:rsidR="003D1F24" w:rsidRDefault="003D1F24">
      <w:pPr>
        <w:rPr>
          <w:rFonts w:ascii="Arial" w:hAnsi="Arial" w:cs="Arial"/>
        </w:rPr>
      </w:pPr>
    </w:p>
    <w:p w:rsidR="003D1F24" w:rsidRDefault="003D1F24">
      <w:pPr>
        <w:rPr>
          <w:rFonts w:ascii="Arial" w:hAnsi="Arial" w:cs="Arial"/>
        </w:rPr>
      </w:pPr>
    </w:p>
    <w:p w:rsidR="003D1F24" w:rsidRDefault="003D1F24">
      <w:pPr>
        <w:rPr>
          <w:rFonts w:ascii="Arial" w:hAnsi="Arial" w:cs="Arial"/>
        </w:rPr>
      </w:pPr>
      <w:r>
        <w:rPr>
          <w:rFonts w:ascii="Arial" w:hAnsi="Arial" w:cs="Arial"/>
        </w:rPr>
        <w:t>Ronald</w:t>
      </w:r>
    </w:p>
    <w:p w:rsidR="0070480F" w:rsidRPr="00D36D73" w:rsidRDefault="0070480F">
      <w:pPr>
        <w:rPr>
          <w:rFonts w:ascii="Arial" w:hAnsi="Arial" w:cs="Arial"/>
        </w:rPr>
      </w:pPr>
      <w:r>
        <w:rPr>
          <w:rFonts w:ascii="Arial" w:hAnsi="Arial" w:cs="Arial"/>
        </w:rPr>
        <w:t>Dictated but not checked, emailed therefore unsigned</w:t>
      </w:r>
    </w:p>
    <w:p w:rsidR="00D41C76" w:rsidRPr="00D36D73" w:rsidRDefault="00D41C76">
      <w:pPr>
        <w:rPr>
          <w:rFonts w:ascii="Arial" w:hAnsi="Arial" w:cs="Arial"/>
        </w:rPr>
      </w:pPr>
    </w:p>
    <w:p w:rsidR="009939AF" w:rsidRDefault="009939AF">
      <w:bookmarkStart w:id="0" w:name="_GoBack"/>
      <w:bookmarkEnd w:id="0"/>
    </w:p>
    <w:sectPr w:rsidR="009939A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749" w:rsidRDefault="005F5749" w:rsidP="00D36D73">
      <w:pPr>
        <w:spacing w:after="0" w:line="240" w:lineRule="auto"/>
      </w:pPr>
      <w:r>
        <w:separator/>
      </w:r>
    </w:p>
  </w:endnote>
  <w:endnote w:type="continuationSeparator" w:id="0">
    <w:p w:rsidR="005F5749" w:rsidRDefault="005F5749" w:rsidP="00D36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749" w:rsidRDefault="005F5749" w:rsidP="00D36D73">
      <w:pPr>
        <w:spacing w:after="0" w:line="240" w:lineRule="auto"/>
      </w:pPr>
      <w:r>
        <w:separator/>
      </w:r>
    </w:p>
  </w:footnote>
  <w:footnote w:type="continuationSeparator" w:id="0">
    <w:p w:rsidR="005F5749" w:rsidRDefault="005F5749" w:rsidP="00D36D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D73" w:rsidRDefault="00D36D73" w:rsidP="00D36D73">
    <w:pPr>
      <w:pStyle w:val="Header"/>
      <w:tabs>
        <w:tab w:val="clear" w:pos="9026"/>
        <w:tab w:val="right" w:pos="9000"/>
      </w:tabs>
      <w:jc w:val="center"/>
      <w:rPr>
        <w:rFonts w:ascii="Times New Roman" w:eastAsia="Times New Roman" w:hAnsi="Times New Roman" w:cs="Times New Roman"/>
        <w:b/>
        <w:bCs/>
        <w:sz w:val="72"/>
        <w:szCs w:val="72"/>
      </w:rPr>
    </w:pPr>
    <w:r>
      <w:rPr>
        <w:rFonts w:ascii="Times New Roman" w:hAnsi="Times New Roman"/>
        <w:b/>
        <w:bCs/>
        <w:sz w:val="72"/>
        <w:szCs w:val="72"/>
      </w:rPr>
      <w:t>RONALD BOBROFF</w:t>
    </w:r>
  </w:p>
  <w:p w:rsidR="00D36D73" w:rsidRDefault="00D36D73" w:rsidP="00D36D73">
    <w:pPr>
      <w:pStyle w:val="Header"/>
      <w:tabs>
        <w:tab w:val="clear" w:pos="9026"/>
        <w:tab w:val="right" w:pos="9000"/>
      </w:tabs>
      <w:jc w:val="center"/>
      <w:rPr>
        <w:rFonts w:ascii="Times New Roman" w:eastAsia="Times New Roman" w:hAnsi="Times New Roman" w:cs="Times New Roman"/>
        <w:b/>
        <w:bCs/>
        <w:sz w:val="24"/>
        <w:szCs w:val="24"/>
      </w:rPr>
    </w:pPr>
    <w:r>
      <w:rPr>
        <w:rFonts w:ascii="Times New Roman" w:hAnsi="Times New Roman"/>
        <w:b/>
        <w:bCs/>
        <w:sz w:val="24"/>
        <w:szCs w:val="24"/>
      </w:rPr>
      <w:t>LAWYER - NEW SOUTH WALES – AUSTRALIA (NON PRACTISING)</w:t>
    </w:r>
  </w:p>
  <w:p w:rsidR="00D36D73" w:rsidRDefault="00D36D73" w:rsidP="00D36D73">
    <w:pPr>
      <w:pStyle w:val="Header"/>
      <w:tabs>
        <w:tab w:val="clear" w:pos="9026"/>
        <w:tab w:val="right" w:pos="9000"/>
      </w:tabs>
      <w:jc w:val="center"/>
      <w:rPr>
        <w:rFonts w:ascii="Times New Roman" w:eastAsia="Times New Roman" w:hAnsi="Times New Roman" w:cs="Times New Roman"/>
        <w:b/>
        <w:bCs/>
        <w:sz w:val="24"/>
        <w:szCs w:val="24"/>
      </w:rPr>
    </w:pPr>
  </w:p>
  <w:p w:rsidR="00D36D73" w:rsidRDefault="00D36D73" w:rsidP="00D36D73">
    <w:pPr>
      <w:pStyle w:val="Header"/>
      <w:tabs>
        <w:tab w:val="clear" w:pos="9026"/>
        <w:tab w:val="right" w:pos="9000"/>
      </w:tabs>
      <w:rPr>
        <w:rFonts w:ascii="Times New Roman" w:eastAsia="Times New Roman" w:hAnsi="Times New Roman" w:cs="Times New Roman"/>
        <w:b/>
        <w:bCs/>
        <w:sz w:val="20"/>
        <w:szCs w:val="20"/>
      </w:rPr>
    </w:pPr>
    <w:r>
      <w:rPr>
        <w:rFonts w:ascii="Times New Roman" w:hAnsi="Times New Roman"/>
        <w:b/>
        <w:bCs/>
        <w:sz w:val="20"/>
        <w:szCs w:val="20"/>
      </w:rPr>
      <w:t xml:space="preserve">Contact </w:t>
    </w:r>
    <w:proofErr w:type="gramStart"/>
    <w:r>
      <w:rPr>
        <w:rFonts w:ascii="Times New Roman" w:hAnsi="Times New Roman"/>
        <w:b/>
        <w:bCs/>
        <w:sz w:val="20"/>
        <w:szCs w:val="20"/>
      </w:rPr>
      <w:t>Tel  :</w:t>
    </w:r>
    <w:proofErr w:type="gramEnd"/>
    <w:r>
      <w:rPr>
        <w:rFonts w:ascii="Times New Roman" w:hAnsi="Times New Roman"/>
        <w:b/>
        <w:bCs/>
        <w:sz w:val="20"/>
        <w:szCs w:val="20"/>
      </w:rPr>
      <w:t xml:space="preserve">  0061 402001583</w:t>
    </w:r>
  </w:p>
  <w:p w:rsidR="00D36D73" w:rsidRDefault="00D36D73" w:rsidP="00D36D73">
    <w:pPr>
      <w:pStyle w:val="Header"/>
      <w:tabs>
        <w:tab w:val="clear" w:pos="9026"/>
        <w:tab w:val="right" w:pos="9000"/>
      </w:tabs>
      <w:rPr>
        <w:rFonts w:ascii="Times New Roman" w:eastAsia="Times New Roman" w:hAnsi="Times New Roman" w:cs="Times New Roman"/>
        <w:b/>
        <w:bCs/>
        <w:sz w:val="20"/>
        <w:szCs w:val="20"/>
      </w:rPr>
    </w:pPr>
    <w:r>
      <w:rPr>
        <w:rFonts w:ascii="Times New Roman" w:hAnsi="Times New Roman"/>
        <w:b/>
        <w:bCs/>
        <w:sz w:val="20"/>
        <w:szCs w:val="20"/>
      </w:rPr>
      <w:t xml:space="preserve">Email Address:  </w:t>
    </w:r>
    <w:hyperlink r:id="rId1" w:history="1">
      <w:r>
        <w:rPr>
          <w:rStyle w:val="Hyperlink0"/>
          <w:rFonts w:eastAsia="Arial Unicode MS"/>
        </w:rPr>
        <w:t>bobroffronald@gmail.com</w:t>
      </w:r>
    </w:hyperlink>
  </w:p>
  <w:p w:rsidR="00D36D73" w:rsidRDefault="00D36D73" w:rsidP="00D36D73">
    <w:pPr>
      <w:pStyle w:val="Header"/>
      <w:pBdr>
        <w:bottom w:val="single" w:sz="12" w:space="0" w:color="000000"/>
      </w:pBdr>
      <w:tabs>
        <w:tab w:val="clear" w:pos="9026"/>
        <w:tab w:val="right" w:pos="9000"/>
      </w:tabs>
      <w:rPr>
        <w:rFonts w:ascii="Times New Roman" w:eastAsia="Times New Roman" w:hAnsi="Times New Roman" w:cs="Times New Roman"/>
        <w:b/>
        <w:bCs/>
        <w:sz w:val="20"/>
        <w:szCs w:val="20"/>
      </w:rPr>
    </w:pPr>
  </w:p>
  <w:p w:rsidR="00D36D73" w:rsidRDefault="00D36D73" w:rsidP="00D36D73">
    <w:pPr>
      <w:pStyle w:val="Header"/>
    </w:pPr>
  </w:p>
  <w:p w:rsidR="00D36D73" w:rsidRDefault="00D36D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E78"/>
    <w:rsid w:val="0032766F"/>
    <w:rsid w:val="003D1F24"/>
    <w:rsid w:val="003E45E5"/>
    <w:rsid w:val="004E5714"/>
    <w:rsid w:val="00582206"/>
    <w:rsid w:val="005C7E87"/>
    <w:rsid w:val="005F5749"/>
    <w:rsid w:val="0070480F"/>
    <w:rsid w:val="008911B4"/>
    <w:rsid w:val="009939AF"/>
    <w:rsid w:val="009B0E78"/>
    <w:rsid w:val="00D36D73"/>
    <w:rsid w:val="00D41C76"/>
    <w:rsid w:val="00E506C6"/>
    <w:rsid w:val="00E71E70"/>
    <w:rsid w:val="00F66C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5744A-ED5A-4080-97B9-1EC1D2AA6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36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D73"/>
  </w:style>
  <w:style w:type="paragraph" w:styleId="Footer">
    <w:name w:val="footer"/>
    <w:basedOn w:val="Normal"/>
    <w:link w:val="FooterChar"/>
    <w:uiPriority w:val="99"/>
    <w:unhideWhenUsed/>
    <w:rsid w:val="00D36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D73"/>
  </w:style>
  <w:style w:type="character" w:customStyle="1" w:styleId="Hyperlink0">
    <w:name w:val="Hyperlink.0"/>
    <w:basedOn w:val="DefaultParagraphFont"/>
    <w:rsid w:val="00D36D73"/>
    <w:rPr>
      <w:rFonts w:ascii="Times New Roman" w:eastAsia="Times New Roman" w:hAnsi="Times New Roman" w:cs="Times New Roman"/>
      <w:b/>
      <w:bCs/>
      <w:outline w:val="0"/>
      <w:color w:val="0563C1"/>
      <w:sz w:val="20"/>
      <w:szCs w:val="20"/>
      <w:u w:val="single" w:color="0563C1"/>
    </w:rPr>
  </w:style>
  <w:style w:type="character" w:styleId="Hyperlink">
    <w:name w:val="Hyperlink"/>
    <w:basedOn w:val="DefaultParagraphFont"/>
    <w:uiPriority w:val="99"/>
    <w:unhideWhenUsed/>
    <w:rsid w:val="003276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bobroffronald.com/images/Annexure_6_-_Undertaking_in_favour_of_Discovery_which_Mark_Bellon_was_forced_to_sign.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broffronald.com/images/Annexure-11---Affidavit-deposed-to-by-Jody-Bellon.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bobroffronal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dc:creator>
  <cp:keywords/>
  <dc:description/>
  <cp:lastModifiedBy>Pamela</cp:lastModifiedBy>
  <cp:revision>1</cp:revision>
  <dcterms:created xsi:type="dcterms:W3CDTF">2024-09-30T09:20:00Z</dcterms:created>
  <dcterms:modified xsi:type="dcterms:W3CDTF">2024-09-30T11:30:00Z</dcterms:modified>
</cp:coreProperties>
</file>