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557" w:rsidRPr="00711875" w:rsidRDefault="00DC6557" w:rsidP="00711875">
      <w:pPr>
        <w:pStyle w:val="ListParagraph"/>
        <w:numPr>
          <w:ilvl w:val="0"/>
          <w:numId w:val="7"/>
        </w:numPr>
        <w:ind w:left="0" w:hanging="567"/>
        <w:rPr>
          <w:rFonts w:ascii="Arial" w:eastAsia="Calibri" w:hAnsi="Arial" w:cs="Arial"/>
          <w:b/>
          <w:sz w:val="22"/>
          <w:szCs w:val="22"/>
          <w:u w:val="single"/>
        </w:rPr>
      </w:pPr>
      <w:r w:rsidRPr="00711875">
        <w:rPr>
          <w:rFonts w:ascii="Arial" w:eastAsia="Calibri" w:hAnsi="Arial" w:cs="Arial"/>
          <w:b/>
          <w:sz w:val="22"/>
          <w:szCs w:val="22"/>
          <w:u w:val="single"/>
        </w:rPr>
        <w:t>A</w:t>
      </w:r>
      <w:r w:rsidR="00204569" w:rsidRPr="00711875">
        <w:rPr>
          <w:rFonts w:ascii="Arial" w:eastAsia="Calibri" w:hAnsi="Arial" w:cs="Arial"/>
          <w:b/>
          <w:sz w:val="22"/>
          <w:szCs w:val="22"/>
          <w:u w:val="single"/>
        </w:rPr>
        <w:t>llegations that Ronald and Darren had misappropriated vast amounts of trust money from clients</w:t>
      </w:r>
      <w:r w:rsidR="0012164E" w:rsidRPr="00711875">
        <w:rPr>
          <w:rFonts w:ascii="Arial" w:eastAsia="Calibri" w:hAnsi="Arial" w:cs="Arial"/>
          <w:b/>
          <w:sz w:val="22"/>
          <w:szCs w:val="22"/>
          <w:u w:val="single"/>
        </w:rPr>
        <w:t xml:space="preserve"> of Ronald Bobroff and Partners Inc</w:t>
      </w:r>
      <w:r w:rsidRPr="00711875">
        <w:rPr>
          <w:rFonts w:ascii="Arial" w:eastAsia="Calibri" w:hAnsi="Arial" w:cs="Arial"/>
          <w:b/>
          <w:sz w:val="22"/>
          <w:szCs w:val="22"/>
          <w:u w:val="single"/>
        </w:rPr>
        <w:t>.</w:t>
      </w:r>
    </w:p>
    <w:p w:rsidR="0012164E" w:rsidRPr="00236A86" w:rsidRDefault="0012164E" w:rsidP="00204569">
      <w:pPr>
        <w:rPr>
          <w:rFonts w:ascii="Arial" w:hAnsi="Arial" w:cs="Arial"/>
          <w:sz w:val="22"/>
          <w:szCs w:val="22"/>
        </w:rPr>
      </w:pPr>
      <w:r w:rsidRPr="00236A86">
        <w:rPr>
          <w:rFonts w:ascii="Arial" w:eastAsia="Calibri" w:hAnsi="Arial" w:cs="Arial"/>
          <w:sz w:val="22"/>
          <w:szCs w:val="22"/>
        </w:rPr>
        <w:t xml:space="preserve">These allegations were not true, and </w:t>
      </w:r>
      <w:r w:rsidR="00DC6557">
        <w:rPr>
          <w:rFonts w:ascii="Arial" w:eastAsia="Calibri" w:hAnsi="Arial" w:cs="Arial"/>
          <w:sz w:val="22"/>
          <w:szCs w:val="22"/>
        </w:rPr>
        <w:t xml:space="preserve">the evidence is that </w:t>
      </w:r>
      <w:r w:rsidRPr="00236A86">
        <w:rPr>
          <w:rFonts w:ascii="Arial" w:eastAsia="Calibri" w:hAnsi="Arial" w:cs="Arial"/>
          <w:sz w:val="22"/>
          <w:szCs w:val="22"/>
        </w:rPr>
        <w:t xml:space="preserve">no trust funds </w:t>
      </w:r>
      <w:r w:rsidR="00B351D4">
        <w:rPr>
          <w:rFonts w:ascii="Arial" w:eastAsia="Calibri" w:hAnsi="Arial" w:cs="Arial"/>
          <w:sz w:val="22"/>
          <w:szCs w:val="22"/>
        </w:rPr>
        <w:t>whatsoever</w:t>
      </w:r>
      <w:r w:rsidR="00DC6557">
        <w:rPr>
          <w:rFonts w:ascii="Arial" w:eastAsia="Calibri" w:hAnsi="Arial" w:cs="Arial"/>
          <w:sz w:val="22"/>
          <w:szCs w:val="22"/>
        </w:rPr>
        <w:t xml:space="preserve"> were misappropriated.</w:t>
      </w:r>
    </w:p>
    <w:p w:rsidR="00AD707B" w:rsidRPr="00236A86" w:rsidRDefault="00204569" w:rsidP="00204569">
      <w:pPr>
        <w:rPr>
          <w:rFonts w:ascii="Arial" w:eastAsia="Calibri" w:hAnsi="Arial" w:cs="Arial"/>
          <w:sz w:val="22"/>
          <w:szCs w:val="22"/>
        </w:rPr>
      </w:pPr>
      <w:r w:rsidRPr="00236A86">
        <w:rPr>
          <w:rFonts w:ascii="Arial" w:eastAsia="Calibri" w:hAnsi="Arial" w:cs="Arial"/>
          <w:sz w:val="22"/>
          <w:szCs w:val="22"/>
        </w:rPr>
        <w:t xml:space="preserve">A report prepared by the curator/manager appointed by the court </w:t>
      </w:r>
      <w:r w:rsidR="00DC6557">
        <w:rPr>
          <w:rFonts w:ascii="Arial" w:eastAsia="Calibri" w:hAnsi="Arial" w:cs="Arial"/>
          <w:sz w:val="22"/>
          <w:szCs w:val="22"/>
        </w:rPr>
        <w:t xml:space="preserve">on 23 March 2016, </w:t>
      </w:r>
      <w:r w:rsidRPr="00236A86">
        <w:rPr>
          <w:rFonts w:ascii="Arial" w:eastAsia="Calibri" w:hAnsi="Arial" w:cs="Arial"/>
          <w:sz w:val="22"/>
          <w:szCs w:val="22"/>
        </w:rPr>
        <w:t>to take over the administration of the practice</w:t>
      </w:r>
      <w:r w:rsidR="00DC6557">
        <w:rPr>
          <w:rFonts w:ascii="Arial" w:eastAsia="Calibri" w:hAnsi="Arial" w:cs="Arial"/>
          <w:sz w:val="22"/>
          <w:szCs w:val="22"/>
        </w:rPr>
        <w:t xml:space="preserve"> of Ronald Bobroff and Partners Inc.’s </w:t>
      </w:r>
      <w:r w:rsidRPr="00236A86">
        <w:rPr>
          <w:rFonts w:ascii="Arial" w:eastAsia="Calibri" w:hAnsi="Arial" w:cs="Arial"/>
          <w:sz w:val="22"/>
          <w:szCs w:val="22"/>
        </w:rPr>
        <w:t>trust account</w:t>
      </w:r>
      <w:r w:rsidR="0012164E" w:rsidRPr="00236A86">
        <w:rPr>
          <w:rFonts w:ascii="Arial" w:eastAsia="Calibri" w:hAnsi="Arial" w:cs="Arial"/>
          <w:sz w:val="22"/>
          <w:szCs w:val="22"/>
        </w:rPr>
        <w:t xml:space="preserve">, after Ronald and Darren </w:t>
      </w:r>
      <w:r w:rsidRPr="00236A86">
        <w:rPr>
          <w:rFonts w:ascii="Arial" w:eastAsia="Calibri" w:hAnsi="Arial" w:cs="Arial"/>
          <w:sz w:val="22"/>
          <w:szCs w:val="22"/>
        </w:rPr>
        <w:t>left South Africa in March 2016, a</w:t>
      </w:r>
      <w:r w:rsidR="0012164E" w:rsidRPr="00236A86">
        <w:rPr>
          <w:rFonts w:ascii="Arial" w:eastAsia="Calibri" w:hAnsi="Arial" w:cs="Arial"/>
          <w:sz w:val="22"/>
          <w:szCs w:val="22"/>
        </w:rPr>
        <w:t xml:space="preserve">nd issued in November 2016, he and his staff having had eight months within which to conduct a thorough investigation </w:t>
      </w:r>
      <w:r w:rsidR="006C1655" w:rsidRPr="00236A86">
        <w:rPr>
          <w:rFonts w:ascii="Arial" w:eastAsia="Calibri" w:hAnsi="Arial" w:cs="Arial"/>
          <w:sz w:val="22"/>
          <w:szCs w:val="22"/>
        </w:rPr>
        <w:t>into the practices affairs and books of account, state</w:t>
      </w:r>
      <w:r w:rsidR="00DC6557">
        <w:rPr>
          <w:rFonts w:ascii="Arial" w:eastAsia="Calibri" w:hAnsi="Arial" w:cs="Arial"/>
          <w:sz w:val="22"/>
          <w:szCs w:val="22"/>
        </w:rPr>
        <w:t>s</w:t>
      </w:r>
      <w:r w:rsidR="006C1655" w:rsidRPr="00236A86">
        <w:rPr>
          <w:rFonts w:ascii="Arial" w:eastAsia="Calibri" w:hAnsi="Arial" w:cs="Arial"/>
          <w:sz w:val="22"/>
          <w:szCs w:val="22"/>
        </w:rPr>
        <w:t xml:space="preserve"> that:</w:t>
      </w:r>
    </w:p>
    <w:p w:rsidR="00AD707B" w:rsidRPr="00236A86" w:rsidRDefault="00AD707B" w:rsidP="00AD707B">
      <w:pPr>
        <w:spacing w:before="100" w:after="100" w:line="240" w:lineRule="auto"/>
        <w:rPr>
          <w:rFonts w:ascii="Arial" w:eastAsia="Arial" w:hAnsi="Arial" w:cs="Arial"/>
          <w:sz w:val="22"/>
          <w:szCs w:val="22"/>
          <w:bdr w:val="none" w:sz="0" w:space="0" w:color="auto" w:frame="1"/>
          <w:lang w:val="en-US" w:eastAsia="en-ZA"/>
        </w:rPr>
      </w:pPr>
      <w:r w:rsidRPr="00236A86">
        <w:rPr>
          <w:rFonts w:ascii="Arial" w:eastAsia="Calibri" w:hAnsi="Arial" w:cs="Arial"/>
          <w:sz w:val="22"/>
          <w:szCs w:val="22"/>
        </w:rPr>
        <w:t>“</w:t>
      </w:r>
      <w:r w:rsidRPr="00DC6557">
        <w:rPr>
          <w:rFonts w:ascii="Arial" w:eastAsia="Arial" w:hAnsi="Arial" w:cs="Arial"/>
          <w:b/>
          <w:sz w:val="22"/>
          <w:szCs w:val="22"/>
          <w:bdr w:val="none" w:sz="0" w:space="0" w:color="auto" w:frame="1"/>
          <w:lang w:val="en-US" w:eastAsia="en-ZA"/>
        </w:rPr>
        <w:t>Detailed accurate reconciled records have been maintained and is available on request. On 10 October 2016 a month end and year ending September 2016 report was compiled and all the balances were in place. A system integrity check was also performed and all was found to be in order. Similarly a month end report was compiled for the end of October 2016, and all balances correlate</w:t>
      </w:r>
      <w:r w:rsidRPr="00236A86">
        <w:rPr>
          <w:rFonts w:ascii="Arial" w:eastAsia="Arial" w:hAnsi="Arial" w:cs="Arial"/>
          <w:sz w:val="22"/>
          <w:szCs w:val="22"/>
          <w:bdr w:val="none" w:sz="0" w:space="0" w:color="auto" w:frame="1"/>
          <w:lang w:val="en-US" w:eastAsia="en-ZA"/>
        </w:rPr>
        <w:t>”.</w:t>
      </w:r>
    </w:p>
    <w:p w:rsidR="006C1655" w:rsidRPr="00DC6557" w:rsidRDefault="006C1655" w:rsidP="006C1655">
      <w:pPr>
        <w:spacing w:before="100" w:after="100" w:line="240" w:lineRule="auto"/>
        <w:rPr>
          <w:rFonts w:ascii="Arial" w:eastAsia="Arial Unicode MS" w:hAnsi="Arial" w:cs="Arial"/>
          <w:b/>
          <w:sz w:val="22"/>
          <w:szCs w:val="22"/>
          <w:bdr w:val="none" w:sz="0" w:space="0" w:color="auto" w:frame="1"/>
          <w:lang w:val="en-US" w:eastAsia="en-ZA"/>
        </w:rPr>
      </w:pPr>
      <w:r w:rsidRPr="00236A86">
        <w:rPr>
          <w:rFonts w:ascii="Arial" w:eastAsia="Arial Unicode MS" w:hAnsi="Arial" w:cs="Arial"/>
          <w:sz w:val="22"/>
          <w:szCs w:val="22"/>
          <w:bdr w:val="none" w:sz="0" w:space="0" w:color="auto" w:frame="1"/>
          <w:lang w:val="en-US" w:eastAsia="en-ZA"/>
        </w:rPr>
        <w:t>“</w:t>
      </w:r>
      <w:r w:rsidRPr="00DC6557">
        <w:rPr>
          <w:rFonts w:ascii="Arial" w:eastAsia="Arial Unicode MS" w:hAnsi="Arial" w:cs="Arial"/>
          <w:b/>
          <w:sz w:val="22"/>
          <w:szCs w:val="22"/>
          <w:bdr w:val="none" w:sz="0" w:space="0" w:color="auto" w:frame="1"/>
          <w:lang w:val="en-US" w:eastAsia="en-ZA"/>
        </w:rPr>
        <w:t>As at 4 November the firm has trust liabilities in the amount of R13, 130, 113-97 and trust assets in the amount of R13, 130, 064.94. The shortfall of the amount of R47.03 relates to VAT on bank charges which is being rectified”.</w:t>
      </w:r>
    </w:p>
    <w:p w:rsidR="006C1655" w:rsidRPr="00236A86" w:rsidRDefault="006C1655" w:rsidP="006C1655">
      <w:pPr>
        <w:spacing w:before="100" w:after="100" w:line="240" w:lineRule="auto"/>
        <w:rPr>
          <w:rFonts w:ascii="Arial" w:eastAsia="Arial" w:hAnsi="Arial" w:cs="Arial"/>
          <w:sz w:val="22"/>
          <w:szCs w:val="22"/>
          <w:bdr w:val="none" w:sz="0" w:space="0" w:color="auto" w:frame="1"/>
          <w:lang w:val="en-US" w:eastAsia="en-ZA"/>
        </w:rPr>
      </w:pPr>
      <w:r w:rsidRPr="00236A86">
        <w:rPr>
          <w:rFonts w:ascii="Arial" w:eastAsia="Arial Unicode MS" w:hAnsi="Arial" w:cs="Arial"/>
          <w:sz w:val="22"/>
          <w:szCs w:val="22"/>
          <w:bdr w:val="none" w:sz="0" w:space="0" w:color="auto" w:frame="1"/>
          <w:lang w:val="en-US" w:eastAsia="en-ZA"/>
        </w:rPr>
        <w:t>It is therefore clear that no trust money (money belonging to practice clients), was missing.</w:t>
      </w:r>
    </w:p>
    <w:p w:rsidR="006C1655" w:rsidRPr="00236A86" w:rsidRDefault="00596693" w:rsidP="00AD707B">
      <w:pPr>
        <w:spacing w:before="100" w:after="100" w:line="240" w:lineRule="auto"/>
        <w:rPr>
          <w:rFonts w:ascii="Arial" w:eastAsia="Arial" w:hAnsi="Arial" w:cs="Arial"/>
          <w:sz w:val="22"/>
          <w:szCs w:val="22"/>
          <w:bdr w:val="none" w:sz="0" w:space="0" w:color="auto" w:frame="1"/>
          <w:lang w:val="en-US" w:eastAsia="en-ZA"/>
        </w:rPr>
      </w:pPr>
      <w:hyperlink r:id="rId8" w:history="1">
        <w:r w:rsidR="00D85B06" w:rsidRPr="00D85B06">
          <w:rPr>
            <w:rStyle w:val="Hyperlink"/>
            <w:rFonts w:ascii="Arial" w:eastAsia="Arial" w:hAnsi="Arial" w:cs="Arial"/>
            <w:sz w:val="22"/>
            <w:szCs w:val="22"/>
            <w:bdr w:val="none" w:sz="0" w:space="0" w:color="auto" w:frame="1"/>
            <w:lang w:val="en-US" w:eastAsia="en-ZA"/>
          </w:rPr>
          <w:t>Click to view</w:t>
        </w:r>
      </w:hyperlink>
      <w:r w:rsidR="00D85B06">
        <w:rPr>
          <w:rFonts w:ascii="Arial" w:eastAsia="Arial" w:hAnsi="Arial" w:cs="Arial"/>
          <w:sz w:val="22"/>
          <w:szCs w:val="22"/>
          <w:bdr w:val="none" w:sz="0" w:space="0" w:color="auto" w:frame="1"/>
          <w:lang w:val="en-US" w:eastAsia="en-ZA"/>
        </w:rPr>
        <w:t xml:space="preserve"> relevant extracts from the Curators report.</w:t>
      </w:r>
    </w:p>
    <w:p w:rsidR="00096934" w:rsidRDefault="00096934" w:rsidP="00096934">
      <w:pPr>
        <w:pStyle w:val="ListParagraph"/>
        <w:spacing w:before="100" w:after="100" w:line="240" w:lineRule="auto"/>
        <w:ind w:left="0"/>
        <w:rPr>
          <w:rFonts w:ascii="Arial" w:eastAsia="Arial" w:hAnsi="Arial" w:cs="Arial"/>
          <w:b/>
          <w:sz w:val="22"/>
          <w:szCs w:val="22"/>
          <w:u w:val="single"/>
          <w:bdr w:val="none" w:sz="0" w:space="0" w:color="auto" w:frame="1"/>
          <w:lang w:val="en-US" w:eastAsia="en-ZA"/>
        </w:rPr>
      </w:pPr>
    </w:p>
    <w:p w:rsidR="006C1655" w:rsidRPr="00711875" w:rsidRDefault="006C1655" w:rsidP="00096934">
      <w:pPr>
        <w:pStyle w:val="ListParagraph"/>
        <w:spacing w:before="100" w:after="100" w:line="240" w:lineRule="auto"/>
        <w:ind w:left="0"/>
        <w:rPr>
          <w:rFonts w:ascii="Arial" w:eastAsia="Arial" w:hAnsi="Arial" w:cs="Arial"/>
          <w:b/>
          <w:sz w:val="22"/>
          <w:szCs w:val="22"/>
          <w:u w:val="single"/>
          <w:bdr w:val="none" w:sz="0" w:space="0" w:color="auto" w:frame="1"/>
          <w:lang w:val="en-US" w:eastAsia="en-ZA"/>
        </w:rPr>
      </w:pPr>
      <w:r w:rsidRPr="00711875">
        <w:rPr>
          <w:rFonts w:ascii="Arial" w:eastAsia="Arial" w:hAnsi="Arial" w:cs="Arial"/>
          <w:b/>
          <w:sz w:val="22"/>
          <w:szCs w:val="22"/>
          <w:u w:val="single"/>
          <w:bdr w:val="none" w:sz="0" w:space="0" w:color="auto" w:frame="1"/>
          <w:lang w:val="en-US" w:eastAsia="en-ZA"/>
        </w:rPr>
        <w:t>The Legal Practitioners Fidelity Fund</w:t>
      </w:r>
    </w:p>
    <w:p w:rsidR="006C1655" w:rsidRPr="00236A86" w:rsidRDefault="006C1655" w:rsidP="006C1655">
      <w:pPr>
        <w:spacing w:before="100" w:after="100" w:line="240" w:lineRule="auto"/>
        <w:rPr>
          <w:rFonts w:ascii="Arial" w:eastAsia="Arial Unicode MS" w:hAnsi="Arial" w:cs="Arial"/>
          <w:sz w:val="22"/>
          <w:szCs w:val="22"/>
          <w:bdr w:val="none" w:sz="0" w:space="0" w:color="auto" w:frame="1"/>
          <w:lang w:val="en-US" w:eastAsia="en-ZA"/>
        </w:rPr>
      </w:pPr>
      <w:r w:rsidRPr="00236A86">
        <w:rPr>
          <w:rFonts w:ascii="Arial" w:eastAsia="Arial Unicode MS" w:hAnsi="Arial" w:cs="Arial"/>
          <w:sz w:val="22"/>
          <w:szCs w:val="22"/>
          <w:bdr w:val="none" w:sz="0" w:space="0" w:color="auto" w:frame="1"/>
          <w:lang w:val="en-US" w:eastAsia="en-ZA"/>
        </w:rPr>
        <w:t xml:space="preserve">This is a fund which was established by the </w:t>
      </w:r>
      <w:r w:rsidR="00236A86" w:rsidRPr="00236A86">
        <w:rPr>
          <w:rFonts w:ascii="Arial" w:eastAsia="Arial Unicode MS" w:hAnsi="Arial" w:cs="Arial"/>
          <w:sz w:val="22"/>
          <w:szCs w:val="22"/>
          <w:bdr w:val="none" w:sz="0" w:space="0" w:color="auto" w:frame="1"/>
          <w:lang w:val="en-US" w:eastAsia="en-ZA"/>
        </w:rPr>
        <w:t>attorney’s</w:t>
      </w:r>
      <w:r w:rsidRPr="00236A86">
        <w:rPr>
          <w:rFonts w:ascii="Arial" w:eastAsia="Arial Unicode MS" w:hAnsi="Arial" w:cs="Arial"/>
          <w:sz w:val="22"/>
          <w:szCs w:val="22"/>
          <w:bdr w:val="none" w:sz="0" w:space="0" w:color="auto" w:frame="1"/>
          <w:lang w:val="en-US" w:eastAsia="en-ZA"/>
        </w:rPr>
        <w:t xml:space="preserve"> profession, to refund clients whose attorneys had </w:t>
      </w:r>
      <w:r w:rsidR="00DC6557">
        <w:rPr>
          <w:rFonts w:ascii="Arial" w:eastAsia="Arial Unicode MS" w:hAnsi="Arial" w:cs="Arial"/>
          <w:sz w:val="22"/>
          <w:szCs w:val="22"/>
          <w:bdr w:val="none" w:sz="0" w:space="0" w:color="auto" w:frame="1"/>
          <w:lang w:val="en-US" w:eastAsia="en-ZA"/>
        </w:rPr>
        <w:t xml:space="preserve">in the course of representing such clients </w:t>
      </w:r>
      <w:r w:rsidRPr="00236A86">
        <w:rPr>
          <w:rFonts w:ascii="Arial" w:eastAsia="Arial Unicode MS" w:hAnsi="Arial" w:cs="Arial"/>
          <w:sz w:val="22"/>
          <w:szCs w:val="22"/>
          <w:bdr w:val="none" w:sz="0" w:space="0" w:color="auto" w:frame="1"/>
          <w:lang w:val="en-US" w:eastAsia="en-ZA"/>
        </w:rPr>
        <w:t>misappropriated/stolen trust money</w:t>
      </w:r>
      <w:r w:rsidR="00DC6557">
        <w:rPr>
          <w:rFonts w:ascii="Arial" w:eastAsia="Arial Unicode MS" w:hAnsi="Arial" w:cs="Arial"/>
          <w:sz w:val="22"/>
          <w:szCs w:val="22"/>
          <w:bdr w:val="none" w:sz="0" w:space="0" w:color="auto" w:frame="1"/>
          <w:lang w:val="en-US" w:eastAsia="en-ZA"/>
        </w:rPr>
        <w:t>s from them.</w:t>
      </w:r>
    </w:p>
    <w:p w:rsidR="006C1655" w:rsidRPr="00DC6557" w:rsidRDefault="006C1655" w:rsidP="006C1655">
      <w:pPr>
        <w:spacing w:before="100" w:after="100" w:line="240" w:lineRule="auto"/>
        <w:rPr>
          <w:rFonts w:ascii="Arial" w:eastAsia="Arial Unicode MS" w:hAnsi="Arial" w:cs="Arial"/>
          <w:b/>
          <w:sz w:val="22"/>
          <w:szCs w:val="22"/>
          <w:bdr w:val="none" w:sz="0" w:space="0" w:color="auto" w:frame="1"/>
          <w:lang w:val="en-US" w:eastAsia="en-ZA"/>
        </w:rPr>
      </w:pPr>
      <w:r w:rsidRPr="00236A86">
        <w:rPr>
          <w:rFonts w:ascii="Arial" w:eastAsia="Arial Unicode MS" w:hAnsi="Arial" w:cs="Arial"/>
          <w:sz w:val="22"/>
          <w:szCs w:val="22"/>
          <w:bdr w:val="none" w:sz="0" w:space="0" w:color="auto" w:frame="1"/>
          <w:lang w:val="en-US" w:eastAsia="en-ZA"/>
        </w:rPr>
        <w:t>The curator reported that he had been in communication with the Fidelity Fund and that  “</w:t>
      </w:r>
      <w:r w:rsidRPr="00DC6557">
        <w:rPr>
          <w:rFonts w:ascii="Arial" w:eastAsia="Arial Unicode MS" w:hAnsi="Arial" w:cs="Arial"/>
          <w:b/>
          <w:sz w:val="22"/>
          <w:szCs w:val="22"/>
          <w:bdr w:val="none" w:sz="0" w:space="0" w:color="auto" w:frame="1"/>
          <w:lang w:val="en-US" w:eastAsia="en-ZA"/>
        </w:rPr>
        <w:t xml:space="preserve">No claims have been lodged with the Attorneys Fidelity Fund, and the Attorneys Fidelity Fund is being kept appraised of the attendances made by the Curator and his department and the status of the winding up of the practice of Ronald Bobroff &amp; Partners Incorporated Attorneys”. </w:t>
      </w:r>
    </w:p>
    <w:p w:rsidR="006C1655" w:rsidRPr="00236A86" w:rsidRDefault="006C1655" w:rsidP="006C1655">
      <w:pPr>
        <w:spacing w:before="100" w:after="100" w:line="240" w:lineRule="auto"/>
        <w:rPr>
          <w:rFonts w:ascii="Arial" w:eastAsia="Calibri" w:hAnsi="Arial" w:cs="Arial"/>
          <w:sz w:val="22"/>
          <w:szCs w:val="22"/>
          <w:bdr w:val="none" w:sz="0" w:space="0" w:color="auto" w:frame="1"/>
          <w:lang w:val="en-US" w:eastAsia="en-ZA"/>
        </w:rPr>
      </w:pPr>
      <w:r w:rsidRPr="00236A86">
        <w:rPr>
          <w:rFonts w:ascii="Arial" w:eastAsia="Arial Unicode MS" w:hAnsi="Arial" w:cs="Arial"/>
          <w:sz w:val="22"/>
          <w:szCs w:val="22"/>
          <w:bdr w:val="none" w:sz="0" w:space="0" w:color="auto" w:frame="1"/>
          <w:lang w:val="en-US" w:eastAsia="en-ZA"/>
        </w:rPr>
        <w:t xml:space="preserve">In response to enquiries from attorney John Cameron, then representing Ronald and Darren the Fidelity Fund </w:t>
      </w:r>
      <w:r w:rsidR="00DC6557">
        <w:rPr>
          <w:rFonts w:ascii="Arial" w:eastAsia="Arial Unicode MS" w:hAnsi="Arial" w:cs="Arial"/>
          <w:sz w:val="22"/>
          <w:szCs w:val="22"/>
          <w:bdr w:val="none" w:sz="0" w:space="0" w:color="auto" w:frame="1"/>
          <w:lang w:val="en-US" w:eastAsia="en-ZA"/>
        </w:rPr>
        <w:t>stated in its letter dated 15 June 2020 that</w:t>
      </w:r>
      <w:r w:rsidRPr="00236A86">
        <w:rPr>
          <w:rFonts w:ascii="Arial" w:eastAsia="Arial Unicode MS" w:hAnsi="Arial" w:cs="Arial"/>
          <w:sz w:val="22"/>
          <w:szCs w:val="22"/>
          <w:bdr w:val="none" w:sz="0" w:space="0" w:color="auto" w:frame="1"/>
          <w:lang w:val="en-US" w:eastAsia="en-ZA"/>
        </w:rPr>
        <w:t xml:space="preserve"> “</w:t>
      </w:r>
      <w:r w:rsidRPr="00DC6557">
        <w:rPr>
          <w:rFonts w:ascii="Arial" w:eastAsia="Calibri" w:hAnsi="Arial" w:cs="Arial"/>
          <w:b/>
          <w:sz w:val="22"/>
          <w:szCs w:val="22"/>
          <w:bdr w:val="none" w:sz="0" w:space="0" w:color="auto" w:frame="1"/>
          <w:lang w:val="en-US" w:eastAsia="en-ZA"/>
        </w:rPr>
        <w:t>We confirm that we have no contingent claims registered against your clients</w:t>
      </w:r>
      <w:r w:rsidRPr="00236A86">
        <w:rPr>
          <w:rFonts w:ascii="Arial" w:eastAsia="Calibri" w:hAnsi="Arial" w:cs="Arial"/>
          <w:sz w:val="22"/>
          <w:szCs w:val="22"/>
          <w:bdr w:val="none" w:sz="0" w:space="0" w:color="auto" w:frame="1"/>
          <w:lang w:val="en-US" w:eastAsia="en-ZA"/>
        </w:rPr>
        <w:t>”.</w:t>
      </w:r>
    </w:p>
    <w:p w:rsidR="006C1655" w:rsidRPr="00236A86" w:rsidRDefault="006C1655" w:rsidP="006C1655">
      <w:pPr>
        <w:spacing w:before="100" w:after="100" w:line="240" w:lineRule="auto"/>
        <w:rPr>
          <w:rFonts w:ascii="Arial" w:eastAsia="Arial Unicode MS" w:hAnsi="Arial" w:cs="Arial"/>
          <w:sz w:val="22"/>
          <w:szCs w:val="22"/>
          <w:bdr w:val="none" w:sz="0" w:space="0" w:color="auto" w:frame="1"/>
          <w:lang w:val="en-US" w:eastAsia="en-ZA"/>
        </w:rPr>
      </w:pPr>
      <w:r w:rsidRPr="00236A86">
        <w:rPr>
          <w:rFonts w:ascii="Arial" w:eastAsia="Arial Unicode MS" w:hAnsi="Arial" w:cs="Arial"/>
          <w:sz w:val="22"/>
          <w:szCs w:val="22"/>
          <w:bdr w:val="none" w:sz="0" w:space="0" w:color="auto" w:frame="1"/>
          <w:lang w:val="en-US" w:eastAsia="en-ZA"/>
        </w:rPr>
        <w:t xml:space="preserve">Further enquiries </w:t>
      </w:r>
      <w:r w:rsidR="007B6A77" w:rsidRPr="00236A86">
        <w:rPr>
          <w:rFonts w:ascii="Arial" w:eastAsia="Arial Unicode MS" w:hAnsi="Arial" w:cs="Arial"/>
          <w:sz w:val="22"/>
          <w:szCs w:val="22"/>
          <w:bdr w:val="none" w:sz="0" w:space="0" w:color="auto" w:frame="1"/>
          <w:lang w:val="en-US" w:eastAsia="en-ZA"/>
        </w:rPr>
        <w:t xml:space="preserve">were made </w:t>
      </w:r>
      <w:r w:rsidR="00DC6557">
        <w:rPr>
          <w:rFonts w:ascii="Arial" w:eastAsia="Arial Unicode MS" w:hAnsi="Arial" w:cs="Arial"/>
          <w:sz w:val="22"/>
          <w:szCs w:val="22"/>
          <w:bdr w:val="none" w:sz="0" w:space="0" w:color="auto" w:frame="1"/>
          <w:lang w:val="en-US" w:eastAsia="en-ZA"/>
        </w:rPr>
        <w:t>from t</w:t>
      </w:r>
      <w:r w:rsidRPr="00236A86">
        <w:rPr>
          <w:rFonts w:ascii="Arial" w:eastAsia="Arial Unicode MS" w:hAnsi="Arial" w:cs="Arial"/>
          <w:sz w:val="22"/>
          <w:szCs w:val="22"/>
          <w:bdr w:val="none" w:sz="0" w:space="0" w:color="auto" w:frame="1"/>
          <w:lang w:val="en-US" w:eastAsia="en-ZA"/>
        </w:rPr>
        <w:t xml:space="preserve">he Fidelity Fund as to whether any RBP practice clients had </w:t>
      </w:r>
      <w:r w:rsidR="007B6A77" w:rsidRPr="00236A86">
        <w:rPr>
          <w:rFonts w:ascii="Arial" w:eastAsia="Arial Unicode MS" w:hAnsi="Arial" w:cs="Arial"/>
          <w:sz w:val="22"/>
          <w:szCs w:val="22"/>
          <w:bdr w:val="none" w:sz="0" w:space="0" w:color="auto" w:frame="1"/>
          <w:lang w:val="en-US" w:eastAsia="en-ZA"/>
        </w:rPr>
        <w:t>lodged claims against the fund</w:t>
      </w:r>
      <w:r w:rsidR="00DC6557">
        <w:rPr>
          <w:rFonts w:ascii="Arial" w:eastAsia="Arial Unicode MS" w:hAnsi="Arial" w:cs="Arial"/>
          <w:sz w:val="22"/>
          <w:szCs w:val="22"/>
          <w:bdr w:val="none" w:sz="0" w:space="0" w:color="auto" w:frame="1"/>
          <w:lang w:val="en-US" w:eastAsia="en-ZA"/>
        </w:rPr>
        <w:t>, alleging misappropriation/theft of trust money from them,</w:t>
      </w:r>
      <w:r w:rsidR="007B6A77" w:rsidRPr="00236A86">
        <w:rPr>
          <w:rFonts w:ascii="Arial" w:eastAsia="Arial Unicode MS" w:hAnsi="Arial" w:cs="Arial"/>
          <w:sz w:val="22"/>
          <w:szCs w:val="22"/>
          <w:bdr w:val="none" w:sz="0" w:space="0" w:color="auto" w:frame="1"/>
          <w:lang w:val="en-US" w:eastAsia="en-ZA"/>
        </w:rPr>
        <w:t xml:space="preserve"> and the Funds responses appear below.</w:t>
      </w:r>
    </w:p>
    <w:p w:rsidR="007B6A77" w:rsidRPr="00236A86" w:rsidRDefault="007B6A77" w:rsidP="006C1655">
      <w:pPr>
        <w:spacing w:before="100" w:after="100" w:line="240" w:lineRule="auto"/>
        <w:rPr>
          <w:rFonts w:ascii="Arial" w:eastAsia="Arial Unicode MS" w:hAnsi="Arial" w:cs="Arial"/>
          <w:sz w:val="22"/>
          <w:szCs w:val="22"/>
          <w:bdr w:val="none" w:sz="0" w:space="0" w:color="auto" w:frame="1"/>
          <w:lang w:val="en-US" w:eastAsia="en-ZA"/>
        </w:rPr>
      </w:pPr>
    </w:p>
    <w:p w:rsidR="00236A86" w:rsidRPr="007B3590" w:rsidRDefault="00236A86" w:rsidP="00236A86">
      <w:pPr>
        <w:pStyle w:val="ListParagraph"/>
        <w:spacing w:before="100" w:after="100" w:line="240" w:lineRule="auto"/>
        <w:ind w:left="0"/>
        <w:rPr>
          <w:rFonts w:ascii="Arial" w:eastAsia="Arial" w:hAnsi="Arial" w:cs="Arial"/>
          <w:b/>
          <w:sz w:val="22"/>
          <w:szCs w:val="22"/>
          <w:u w:val="single"/>
          <w:bdr w:val="none" w:sz="0" w:space="0" w:color="auto" w:frame="1"/>
          <w:lang w:val="en-US" w:eastAsia="en-ZA"/>
        </w:rPr>
      </w:pPr>
      <w:r w:rsidRPr="007B3590">
        <w:rPr>
          <w:rFonts w:ascii="Arial" w:eastAsia="Calibri" w:hAnsi="Arial" w:cs="Arial"/>
          <w:b/>
          <w:sz w:val="22"/>
          <w:szCs w:val="22"/>
          <w:u w:val="single"/>
          <w:bdr w:val="none" w:sz="0" w:space="0" w:color="auto" w:frame="1"/>
          <w:lang w:val="en-US" w:eastAsia="en-ZA"/>
        </w:rPr>
        <w:t>28 August 2018</w:t>
      </w:r>
    </w:p>
    <w:p w:rsidR="007B6A77" w:rsidRPr="00236A86" w:rsidRDefault="007B6A77" w:rsidP="007B6A77">
      <w:pPr>
        <w:spacing w:before="100" w:after="100" w:line="240" w:lineRule="auto"/>
        <w:rPr>
          <w:rFonts w:ascii="Arial" w:eastAsia="Arial" w:hAnsi="Arial" w:cs="Arial"/>
          <w:sz w:val="22"/>
          <w:szCs w:val="22"/>
          <w:bdr w:val="none" w:sz="0" w:space="0" w:color="auto" w:frame="1"/>
          <w:lang w:val="en-US" w:eastAsia="en-ZA"/>
        </w:rPr>
      </w:pPr>
      <w:r w:rsidRPr="00236A86">
        <w:rPr>
          <w:rFonts w:ascii="Arial" w:eastAsia="Calibri" w:hAnsi="Arial" w:cs="Arial"/>
          <w:sz w:val="22"/>
          <w:szCs w:val="22"/>
          <w:bdr w:val="none" w:sz="0" w:space="0" w:color="auto" w:frame="1"/>
          <w:lang w:val="en-US" w:eastAsia="en-ZA"/>
        </w:rPr>
        <w:t xml:space="preserve">“I refer to your enquiry as to the status of any claims having being submitted and paid by the </w:t>
      </w:r>
      <w:r w:rsidRPr="00236A86">
        <w:rPr>
          <w:rFonts w:ascii="Arial" w:eastAsia="Calibri" w:hAnsi="Arial" w:cs="Arial"/>
          <w:b/>
          <w:sz w:val="22"/>
          <w:szCs w:val="22"/>
          <w:bdr w:val="none" w:sz="0" w:space="0" w:color="auto" w:frame="1"/>
          <w:lang w:val="en-US" w:eastAsia="en-ZA"/>
        </w:rPr>
        <w:t>Attorneys Fidelity Fund</w:t>
      </w:r>
      <w:r w:rsidRPr="00236A86">
        <w:rPr>
          <w:rFonts w:ascii="Arial" w:eastAsia="Calibri" w:hAnsi="Arial" w:cs="Arial"/>
          <w:sz w:val="22"/>
          <w:szCs w:val="22"/>
          <w:bdr w:val="none" w:sz="0" w:space="0" w:color="auto" w:frame="1"/>
          <w:lang w:val="en-US" w:eastAsia="en-ZA"/>
        </w:rPr>
        <w:t xml:space="preserve"> as a result of allege theft of trust moneys.</w:t>
      </w:r>
    </w:p>
    <w:p w:rsidR="007B6A77" w:rsidRPr="00236A86" w:rsidRDefault="007B6A77" w:rsidP="00603920">
      <w:pPr>
        <w:pStyle w:val="ListParagraph"/>
        <w:numPr>
          <w:ilvl w:val="0"/>
          <w:numId w:val="2"/>
        </w:numPr>
        <w:spacing w:before="100" w:after="100" w:line="240" w:lineRule="auto"/>
        <w:ind w:left="0" w:hanging="567"/>
        <w:rPr>
          <w:rFonts w:ascii="Arial" w:eastAsia="Arial" w:hAnsi="Arial" w:cs="Arial"/>
          <w:sz w:val="22"/>
          <w:szCs w:val="22"/>
          <w:bdr w:val="none" w:sz="0" w:space="0" w:color="auto" w:frame="1"/>
          <w:lang w:val="en-US" w:eastAsia="en-ZA"/>
        </w:rPr>
      </w:pPr>
      <w:r w:rsidRPr="00236A86">
        <w:rPr>
          <w:rFonts w:ascii="Arial" w:eastAsia="Calibri" w:hAnsi="Arial" w:cs="Arial"/>
          <w:sz w:val="22"/>
          <w:szCs w:val="22"/>
          <w:bdr w:val="none" w:sz="0" w:space="0" w:color="auto" w:frame="1"/>
          <w:lang w:val="en-US" w:eastAsia="en-ZA"/>
        </w:rPr>
        <w:t xml:space="preserve">I wish to confirm that the High Court of Pretoria appointed me as </w:t>
      </w:r>
      <w:r w:rsidRPr="00236A86">
        <w:rPr>
          <w:rFonts w:ascii="Arial" w:eastAsia="Calibri" w:hAnsi="Arial" w:cs="Arial"/>
          <w:i/>
          <w:iCs/>
          <w:sz w:val="22"/>
          <w:szCs w:val="22"/>
          <w:bdr w:val="none" w:sz="0" w:space="0" w:color="auto" w:frame="1"/>
          <w:lang w:val="en-US" w:eastAsia="en-ZA"/>
        </w:rPr>
        <w:t xml:space="preserve">curator </w:t>
      </w:r>
      <w:proofErr w:type="spellStart"/>
      <w:r w:rsidRPr="00236A86">
        <w:rPr>
          <w:rFonts w:ascii="Arial" w:eastAsia="Calibri" w:hAnsi="Arial" w:cs="Arial"/>
          <w:i/>
          <w:iCs/>
          <w:sz w:val="22"/>
          <w:szCs w:val="22"/>
          <w:bdr w:val="none" w:sz="0" w:space="0" w:color="auto" w:frame="1"/>
          <w:lang w:val="en-US" w:eastAsia="en-ZA"/>
        </w:rPr>
        <w:t>bonis</w:t>
      </w:r>
      <w:proofErr w:type="spellEnd"/>
      <w:r w:rsidRPr="00236A86">
        <w:rPr>
          <w:rFonts w:ascii="Arial" w:eastAsia="Calibri" w:hAnsi="Arial" w:cs="Arial"/>
          <w:sz w:val="22"/>
          <w:szCs w:val="22"/>
          <w:bdr w:val="none" w:sz="0" w:space="0" w:color="auto" w:frame="1"/>
          <w:lang w:val="en-US" w:eastAsia="en-ZA"/>
        </w:rPr>
        <w:t xml:space="preserve"> of the practice Ronald Bobroff and Partners on 24 March 2016 in terms of which </w:t>
      </w:r>
      <w:r w:rsidRPr="00236A86">
        <w:rPr>
          <w:rFonts w:ascii="Arial" w:eastAsia="Calibri" w:hAnsi="Arial" w:cs="Arial"/>
          <w:i/>
          <w:iCs/>
          <w:sz w:val="22"/>
          <w:szCs w:val="22"/>
          <w:bdr w:val="none" w:sz="0" w:space="0" w:color="auto" w:frame="1"/>
          <w:lang w:val="en-US" w:eastAsia="en-ZA"/>
        </w:rPr>
        <w:t>inter alia</w:t>
      </w:r>
      <w:r w:rsidRPr="00236A86">
        <w:rPr>
          <w:rFonts w:ascii="Arial" w:eastAsia="Calibri" w:hAnsi="Arial" w:cs="Arial"/>
          <w:sz w:val="22"/>
          <w:szCs w:val="22"/>
          <w:bdr w:val="none" w:sz="0" w:space="0" w:color="auto" w:frame="1"/>
          <w:lang w:val="en-US" w:eastAsia="en-ZA"/>
        </w:rPr>
        <w:t xml:space="preserve"> the trust account(s) were placed under my control and to administer any claims of trust creditors.</w:t>
      </w:r>
      <w:r w:rsidR="00236A86" w:rsidRPr="00236A86">
        <w:rPr>
          <w:rStyle w:val="Hyperlink"/>
          <w:rFonts w:ascii="Arial" w:eastAsia="Calibri" w:hAnsi="Arial" w:cs="Arial"/>
          <w:sz w:val="22"/>
          <w:szCs w:val="22"/>
          <w:u w:color="0563C1"/>
          <w:bdr w:val="none" w:sz="0" w:space="0" w:color="auto" w:frame="1"/>
          <w:lang w:val="en-US" w:eastAsia="en-ZA"/>
        </w:rPr>
        <w:t xml:space="preserve"> </w:t>
      </w:r>
      <w:hyperlink r:id="rId9" w:history="1">
        <w:r w:rsidR="00236A86" w:rsidRPr="00236A86">
          <w:rPr>
            <w:rStyle w:val="Hyperlink"/>
            <w:rFonts w:ascii="Arial" w:eastAsia="Calibri" w:hAnsi="Arial" w:cs="Arial"/>
            <w:sz w:val="22"/>
            <w:szCs w:val="22"/>
            <w:u w:color="0563C1"/>
            <w:bdr w:val="none" w:sz="0" w:space="0" w:color="auto" w:frame="1"/>
            <w:lang w:val="en-US" w:eastAsia="en-ZA"/>
          </w:rPr>
          <w:t xml:space="preserve">Click here to view letter </w:t>
        </w:r>
      </w:hyperlink>
      <w:r w:rsidR="00236A86" w:rsidRPr="00236A86">
        <w:rPr>
          <w:rFonts w:ascii="Arial" w:eastAsia="Calibri" w:hAnsi="Arial" w:cs="Arial"/>
          <w:sz w:val="22"/>
          <w:szCs w:val="22"/>
          <w:u w:val="single" w:color="0563C1"/>
          <w:bdr w:val="none" w:sz="0" w:space="0" w:color="auto" w:frame="1"/>
          <w:lang w:val="en-US" w:eastAsia="en-ZA"/>
        </w:rPr>
        <w:t xml:space="preserve"> </w:t>
      </w:r>
    </w:p>
    <w:p w:rsidR="007B6A77" w:rsidRPr="00236A86" w:rsidRDefault="007B6A77" w:rsidP="007B6A77">
      <w:pPr>
        <w:spacing w:before="100" w:after="100" w:line="240" w:lineRule="auto"/>
        <w:rPr>
          <w:rFonts w:ascii="Arial" w:eastAsia="Arial" w:hAnsi="Arial" w:cs="Arial"/>
          <w:sz w:val="22"/>
          <w:szCs w:val="22"/>
          <w:bdr w:val="none" w:sz="0" w:space="0" w:color="auto" w:frame="1"/>
          <w:lang w:val="en-US" w:eastAsia="en-ZA"/>
        </w:rPr>
      </w:pPr>
      <w:r w:rsidRPr="00236A86">
        <w:rPr>
          <w:rFonts w:ascii="Arial" w:eastAsia="Calibri" w:hAnsi="Arial" w:cs="Arial"/>
          <w:sz w:val="22"/>
          <w:szCs w:val="22"/>
          <w:bdr w:val="none" w:sz="0" w:space="0" w:color="auto" w:frame="1"/>
          <w:lang w:val="en-US" w:eastAsia="en-ZA"/>
        </w:rPr>
        <w:t xml:space="preserve">I wish to confirm that there are </w:t>
      </w:r>
      <w:r w:rsidRPr="00236A86">
        <w:rPr>
          <w:rFonts w:ascii="Arial" w:eastAsia="Calibri" w:hAnsi="Arial" w:cs="Arial"/>
          <w:sz w:val="22"/>
          <w:szCs w:val="22"/>
          <w:u w:val="single" w:color="000000"/>
          <w:bdr w:val="none" w:sz="0" w:space="0" w:color="auto" w:frame="1"/>
          <w:lang w:val="en-US" w:eastAsia="en-ZA"/>
        </w:rPr>
        <w:t>no legitimate claims of misappropriation</w:t>
      </w:r>
      <w:r w:rsidRPr="00236A86">
        <w:rPr>
          <w:rFonts w:ascii="Arial" w:eastAsia="Calibri" w:hAnsi="Arial" w:cs="Arial"/>
          <w:sz w:val="22"/>
          <w:szCs w:val="22"/>
          <w:bdr w:val="none" w:sz="0" w:space="0" w:color="auto" w:frame="1"/>
          <w:lang w:val="en-US" w:eastAsia="en-ZA"/>
        </w:rPr>
        <w:t xml:space="preserve"> which to date have been </w:t>
      </w:r>
      <w:r w:rsidRPr="00236A86">
        <w:rPr>
          <w:rFonts w:ascii="Arial" w:eastAsia="Calibri" w:hAnsi="Arial" w:cs="Arial"/>
          <w:sz w:val="22"/>
          <w:szCs w:val="22"/>
          <w:u w:val="single" w:color="000000"/>
          <w:bdr w:val="none" w:sz="0" w:space="0" w:color="auto" w:frame="1"/>
          <w:lang w:val="en-US" w:eastAsia="en-ZA"/>
        </w:rPr>
        <w:t>made against the Attorneys Fidelity Fund</w:t>
      </w:r>
      <w:r w:rsidRPr="00236A86">
        <w:rPr>
          <w:rFonts w:ascii="Arial" w:eastAsia="Calibri" w:hAnsi="Arial" w:cs="Arial"/>
          <w:sz w:val="22"/>
          <w:szCs w:val="22"/>
          <w:bdr w:val="none" w:sz="0" w:space="0" w:color="auto" w:frame="1"/>
          <w:lang w:val="en-US" w:eastAsia="en-ZA"/>
        </w:rPr>
        <w:t>…”</w:t>
      </w:r>
    </w:p>
    <w:p w:rsidR="00DC6557" w:rsidRDefault="00DC6557" w:rsidP="007B6A77">
      <w:pPr>
        <w:spacing w:before="100" w:after="100" w:line="240" w:lineRule="auto"/>
        <w:rPr>
          <w:rFonts w:ascii="Arial" w:eastAsia="Arial" w:hAnsi="Arial" w:cs="Arial"/>
          <w:sz w:val="22"/>
          <w:szCs w:val="22"/>
          <w:bdr w:val="none" w:sz="0" w:space="0" w:color="auto" w:frame="1"/>
          <w:lang w:val="en-US" w:eastAsia="en-ZA"/>
        </w:rPr>
      </w:pPr>
    </w:p>
    <w:p w:rsidR="007A745C" w:rsidRDefault="007A745C" w:rsidP="007B6A77">
      <w:pPr>
        <w:spacing w:before="100" w:after="100" w:line="240" w:lineRule="auto"/>
        <w:rPr>
          <w:rFonts w:ascii="Arial" w:eastAsia="Arial" w:hAnsi="Arial" w:cs="Arial"/>
          <w:sz w:val="22"/>
          <w:szCs w:val="22"/>
          <w:bdr w:val="none" w:sz="0" w:space="0" w:color="auto" w:frame="1"/>
          <w:lang w:val="en-US" w:eastAsia="en-ZA"/>
        </w:rPr>
      </w:pPr>
    </w:p>
    <w:p w:rsidR="007B6A77" w:rsidRPr="00236A86" w:rsidRDefault="00236A86" w:rsidP="007B6A77">
      <w:pPr>
        <w:pStyle w:val="ListParagraph"/>
        <w:numPr>
          <w:ilvl w:val="0"/>
          <w:numId w:val="2"/>
        </w:numPr>
        <w:spacing w:before="100" w:after="100" w:line="240" w:lineRule="auto"/>
        <w:ind w:left="0" w:hanging="567"/>
        <w:rPr>
          <w:rFonts w:ascii="Arial" w:eastAsia="Arial" w:hAnsi="Arial" w:cs="Arial"/>
          <w:sz w:val="22"/>
          <w:szCs w:val="22"/>
          <w:bdr w:val="none" w:sz="0" w:space="0" w:color="auto" w:frame="1"/>
          <w:lang w:val="en-US" w:eastAsia="en-ZA"/>
        </w:rPr>
      </w:pPr>
      <w:r w:rsidRPr="00236A86">
        <w:rPr>
          <w:rStyle w:val="Hyperlink"/>
          <w:rFonts w:ascii="Arial" w:eastAsia="Calibri" w:hAnsi="Arial" w:cs="Arial"/>
          <w:b/>
          <w:color w:val="auto"/>
          <w:sz w:val="22"/>
          <w:szCs w:val="22"/>
          <w:bdr w:val="none" w:sz="0" w:space="0" w:color="auto" w:frame="1"/>
          <w:lang w:val="en-US" w:eastAsia="en-ZA"/>
        </w:rPr>
        <w:t>4 June 2019</w:t>
      </w:r>
    </w:p>
    <w:p w:rsidR="007B6A77" w:rsidRPr="00236A86" w:rsidRDefault="007B6A77" w:rsidP="007B6A77">
      <w:pPr>
        <w:spacing w:before="100" w:after="100" w:line="240" w:lineRule="auto"/>
        <w:rPr>
          <w:rFonts w:ascii="Arial" w:eastAsia="Calibri" w:hAnsi="Arial" w:cs="Arial"/>
          <w:sz w:val="22"/>
          <w:szCs w:val="22"/>
          <w:bdr w:val="none" w:sz="0" w:space="0" w:color="auto" w:frame="1"/>
          <w:lang w:val="en-US" w:eastAsia="en-ZA"/>
          <w14:textOutline w14:w="0" w14:cap="flat" w14:cmpd="sng" w14:algn="ctr">
            <w14:noFill/>
            <w14:prstDash w14:val="solid"/>
            <w14:bevel/>
          </w14:textOutline>
        </w:rPr>
      </w:pPr>
      <w:r w:rsidRPr="00236A86">
        <w:rPr>
          <w:rFonts w:ascii="Arial" w:eastAsia="Calibri" w:hAnsi="Arial" w:cs="Arial"/>
          <w:sz w:val="22"/>
          <w:szCs w:val="22"/>
          <w:bdr w:val="none" w:sz="0" w:space="0" w:color="auto" w:frame="1"/>
          <w:lang w:val="en-US" w:eastAsia="en-ZA"/>
          <w14:textOutline w14:w="0" w14:cap="flat" w14:cmpd="sng" w14:algn="ctr">
            <w14:noFill/>
            <w14:prstDash w14:val="solid"/>
            <w14:bevel/>
          </w14:textOutline>
        </w:rPr>
        <w:t xml:space="preserve">“I refer to your enquiry and wish to advise that there are </w:t>
      </w:r>
      <w:r w:rsidRPr="00236A86">
        <w:rPr>
          <w:rFonts w:ascii="Arial" w:eastAsia="Calibri" w:hAnsi="Arial" w:cs="Arial"/>
          <w:sz w:val="22"/>
          <w:szCs w:val="22"/>
          <w:u w:val="single" w:color="000000"/>
          <w:bdr w:val="none" w:sz="0" w:space="0" w:color="auto" w:frame="1"/>
          <w:lang w:val="en-US" w:eastAsia="en-ZA"/>
          <w14:textOutline w14:w="0" w14:cap="flat" w14:cmpd="sng" w14:algn="ctr">
            <w14:noFill/>
            <w14:prstDash w14:val="solid"/>
            <w14:bevel/>
          </w14:textOutline>
        </w:rPr>
        <w:t>no pending claims</w:t>
      </w:r>
      <w:r w:rsidRPr="00236A86">
        <w:rPr>
          <w:rFonts w:ascii="Arial" w:eastAsia="Calibri" w:hAnsi="Arial" w:cs="Arial"/>
          <w:sz w:val="22"/>
          <w:szCs w:val="22"/>
          <w:bdr w:val="none" w:sz="0" w:space="0" w:color="auto" w:frame="1"/>
          <w:lang w:val="en-US" w:eastAsia="en-ZA"/>
          <w14:textOutline w14:w="0" w14:cap="flat" w14:cmpd="sng" w14:algn="ctr">
            <w14:noFill/>
            <w14:prstDash w14:val="solid"/>
            <w14:bevel/>
          </w14:textOutline>
        </w:rPr>
        <w:t xml:space="preserve"> submitted to the Legal Practitioners Fidelity Fund nor any claims previously paid by them”.</w:t>
      </w:r>
      <w:r w:rsidR="00236A86" w:rsidRPr="00236A86">
        <w:rPr>
          <w:rStyle w:val="Hyperlink"/>
          <w:rFonts w:ascii="Arial" w:eastAsia="Calibri" w:hAnsi="Arial" w:cs="Arial"/>
          <w:sz w:val="22"/>
          <w:szCs w:val="22"/>
          <w:u w:color="0563C1"/>
          <w:bdr w:val="none" w:sz="0" w:space="0" w:color="auto" w:frame="1"/>
          <w:lang w:val="en-US" w:eastAsia="en-ZA"/>
        </w:rPr>
        <w:t xml:space="preserve"> </w:t>
      </w:r>
      <w:hyperlink r:id="rId10" w:history="1">
        <w:r w:rsidR="00236A86" w:rsidRPr="00236A86">
          <w:rPr>
            <w:rStyle w:val="Hyperlink"/>
            <w:rFonts w:ascii="Arial" w:eastAsia="Calibri" w:hAnsi="Arial" w:cs="Arial"/>
            <w:sz w:val="22"/>
            <w:szCs w:val="22"/>
            <w:u w:color="0563C1"/>
            <w:bdr w:val="none" w:sz="0" w:space="0" w:color="auto" w:frame="1"/>
            <w:lang w:val="en-US" w:eastAsia="en-ZA"/>
          </w:rPr>
          <w:t xml:space="preserve">Click here to view </w:t>
        </w:r>
      </w:hyperlink>
    </w:p>
    <w:p w:rsidR="007B6A77" w:rsidRPr="00236A86" w:rsidRDefault="007B6A77" w:rsidP="007B6A77">
      <w:pPr>
        <w:spacing w:before="100" w:after="100" w:line="240" w:lineRule="auto"/>
        <w:rPr>
          <w:rFonts w:ascii="Arial" w:eastAsia="Calibri" w:hAnsi="Arial" w:cs="Arial"/>
          <w:sz w:val="22"/>
          <w:szCs w:val="22"/>
          <w:bdr w:val="none" w:sz="0" w:space="0" w:color="auto" w:frame="1"/>
          <w:lang w:val="en-US" w:eastAsia="en-ZA"/>
          <w14:textOutline w14:w="0" w14:cap="flat" w14:cmpd="sng" w14:algn="ctr">
            <w14:noFill/>
            <w14:prstDash w14:val="solid"/>
            <w14:bevel/>
          </w14:textOutline>
        </w:rPr>
      </w:pPr>
    </w:p>
    <w:p w:rsidR="00236A86" w:rsidRPr="00236A86" w:rsidRDefault="00236A86" w:rsidP="007B6A77">
      <w:pPr>
        <w:numPr>
          <w:ilvl w:val="0"/>
          <w:numId w:val="3"/>
        </w:numPr>
        <w:spacing w:before="100" w:after="100" w:line="240" w:lineRule="auto"/>
        <w:ind w:left="0" w:hanging="567"/>
        <w:contextualSpacing/>
        <w:rPr>
          <w:rFonts w:ascii="Arial" w:eastAsia="Arial" w:hAnsi="Arial" w:cs="Arial"/>
          <w:b/>
          <w:sz w:val="22"/>
          <w:szCs w:val="22"/>
          <w:u w:val="single"/>
          <w:lang w:eastAsia="en-ZA"/>
        </w:rPr>
      </w:pPr>
      <w:r w:rsidRPr="00236A86">
        <w:rPr>
          <w:rFonts w:ascii="Arial" w:eastAsia="Arial" w:hAnsi="Arial" w:cs="Arial"/>
          <w:b/>
          <w:sz w:val="22"/>
          <w:szCs w:val="22"/>
          <w:u w:val="single"/>
          <w:lang w:eastAsia="en-ZA"/>
        </w:rPr>
        <w:t xml:space="preserve">15 June 2020 </w:t>
      </w:r>
    </w:p>
    <w:p w:rsidR="00236A86" w:rsidRPr="00236A86" w:rsidRDefault="007B6A77" w:rsidP="00236A86">
      <w:pPr>
        <w:spacing w:before="100" w:after="100" w:line="240" w:lineRule="auto"/>
        <w:contextualSpacing/>
        <w:rPr>
          <w:rFonts w:ascii="Arial" w:eastAsia="Arial" w:hAnsi="Arial" w:cs="Arial"/>
          <w:sz w:val="22"/>
          <w:szCs w:val="22"/>
          <w:lang w:eastAsia="en-ZA"/>
        </w:rPr>
      </w:pPr>
      <w:proofErr w:type="gramStart"/>
      <w:r w:rsidRPr="00236A86">
        <w:rPr>
          <w:rFonts w:ascii="Arial" w:eastAsia="Calibri" w:hAnsi="Arial" w:cs="Arial"/>
          <w:sz w:val="22"/>
          <w:szCs w:val="22"/>
          <w:bdr w:val="none" w:sz="0" w:space="0" w:color="auto" w:frame="1"/>
          <w:lang w:val="en-US" w:eastAsia="en-ZA"/>
        </w:rPr>
        <w:t>“ We</w:t>
      </w:r>
      <w:proofErr w:type="gramEnd"/>
      <w:r w:rsidRPr="00236A86">
        <w:rPr>
          <w:rFonts w:ascii="Arial" w:eastAsia="Calibri" w:hAnsi="Arial" w:cs="Arial"/>
          <w:sz w:val="22"/>
          <w:szCs w:val="22"/>
          <w:bdr w:val="none" w:sz="0" w:space="0" w:color="auto" w:frame="1"/>
          <w:lang w:val="en-US" w:eastAsia="en-ZA"/>
        </w:rPr>
        <w:t xml:space="preserve"> confirm that we have no contingent claims registered against your clients”.</w:t>
      </w:r>
      <w:r w:rsidR="00236A86" w:rsidRPr="00236A86">
        <w:rPr>
          <w:rStyle w:val="Hyperlink"/>
          <w:rFonts w:ascii="Arial" w:eastAsia="Calibri" w:hAnsi="Arial" w:cs="Arial"/>
          <w:sz w:val="22"/>
          <w:szCs w:val="22"/>
          <w:u w:color="0563C1"/>
          <w:lang w:eastAsia="en-ZA"/>
        </w:rPr>
        <w:t xml:space="preserve"> </w:t>
      </w:r>
      <w:hyperlink r:id="rId11" w:history="1">
        <w:r w:rsidR="00236A86" w:rsidRPr="00236A86">
          <w:rPr>
            <w:rStyle w:val="Hyperlink"/>
            <w:rFonts w:ascii="Arial" w:eastAsia="Calibri" w:hAnsi="Arial" w:cs="Arial"/>
            <w:sz w:val="22"/>
            <w:szCs w:val="22"/>
            <w:u w:color="0563C1"/>
            <w:lang w:eastAsia="en-ZA"/>
          </w:rPr>
          <w:t>Click here to read</w:t>
        </w:r>
      </w:hyperlink>
      <w:r w:rsidR="00236A86" w:rsidRPr="00236A86">
        <w:rPr>
          <w:rFonts w:ascii="Arial" w:eastAsia="Calibri" w:hAnsi="Arial" w:cs="Arial"/>
          <w:sz w:val="22"/>
          <w:szCs w:val="22"/>
          <w:lang w:eastAsia="en-ZA"/>
        </w:rPr>
        <w:t xml:space="preserve"> </w:t>
      </w:r>
    </w:p>
    <w:p w:rsidR="007B6A77" w:rsidRPr="00236A86" w:rsidRDefault="007B6A77" w:rsidP="007B6A77">
      <w:pPr>
        <w:spacing w:before="100" w:after="100" w:line="240" w:lineRule="auto"/>
        <w:rPr>
          <w:rFonts w:ascii="Arial" w:eastAsia="Calibri" w:hAnsi="Arial" w:cs="Arial"/>
          <w:sz w:val="22"/>
          <w:szCs w:val="22"/>
          <w:bdr w:val="none" w:sz="0" w:space="0" w:color="auto" w:frame="1"/>
          <w:lang w:val="en-US" w:eastAsia="en-ZA"/>
        </w:rPr>
      </w:pPr>
    </w:p>
    <w:p w:rsidR="007B3590" w:rsidRPr="007B3590" w:rsidRDefault="007B6A77" w:rsidP="007B6A77">
      <w:pPr>
        <w:numPr>
          <w:ilvl w:val="0"/>
          <w:numId w:val="3"/>
        </w:numPr>
        <w:spacing w:before="100" w:after="100" w:line="240" w:lineRule="auto"/>
        <w:ind w:left="0" w:hanging="567"/>
        <w:contextualSpacing/>
        <w:rPr>
          <w:rStyle w:val="Hyperlink"/>
          <w:rFonts w:ascii="Arial" w:eastAsia="Calibri" w:hAnsi="Arial" w:cs="Arial"/>
          <w:color w:val="auto"/>
          <w:sz w:val="22"/>
          <w:szCs w:val="22"/>
          <w:u w:val="none"/>
          <w:lang w:eastAsia="en-ZA"/>
        </w:rPr>
      </w:pPr>
      <w:r w:rsidRPr="007B3590">
        <w:rPr>
          <w:rStyle w:val="Hyperlink"/>
          <w:rFonts w:ascii="Arial" w:eastAsia="Calibri" w:hAnsi="Arial" w:cs="Arial"/>
          <w:b/>
          <w:color w:val="auto"/>
          <w:sz w:val="22"/>
          <w:szCs w:val="22"/>
          <w:lang w:eastAsia="en-ZA"/>
        </w:rPr>
        <w:t>15 March 2023</w:t>
      </w:r>
      <w:r w:rsidRPr="00236A86">
        <w:rPr>
          <w:rStyle w:val="Hyperlink"/>
          <w:rFonts w:ascii="Arial" w:eastAsia="Calibri" w:hAnsi="Arial" w:cs="Arial"/>
          <w:color w:val="auto"/>
          <w:sz w:val="22"/>
          <w:szCs w:val="22"/>
          <w:u w:val="none" w:color="000000"/>
          <w:lang w:eastAsia="en-ZA"/>
        </w:rPr>
        <w:t xml:space="preserve"> </w:t>
      </w:r>
    </w:p>
    <w:p w:rsidR="007B6A77" w:rsidRPr="00236A86" w:rsidRDefault="007B6A77" w:rsidP="007B3590">
      <w:pPr>
        <w:spacing w:before="100" w:after="100" w:line="240" w:lineRule="auto"/>
        <w:contextualSpacing/>
        <w:rPr>
          <w:rFonts w:ascii="Arial" w:eastAsia="Calibri" w:hAnsi="Arial" w:cs="Arial"/>
          <w:sz w:val="22"/>
          <w:szCs w:val="22"/>
          <w:lang w:eastAsia="en-ZA"/>
        </w:rPr>
      </w:pPr>
      <w:r w:rsidRPr="00236A86">
        <w:rPr>
          <w:rFonts w:ascii="Arial" w:eastAsia="Calibri" w:hAnsi="Arial" w:cs="Arial"/>
          <w:sz w:val="22"/>
          <w:szCs w:val="22"/>
          <w:lang w:eastAsia="en-ZA"/>
        </w:rPr>
        <w:t xml:space="preserve">” We hereby confirm that there have been no legitimate claims lodged against the Legal Practitioners Fidelity Fund by any one of Bobroff &amp; Partners Inc.’s former clients </w:t>
      </w:r>
      <w:hyperlink r:id="rId12" w:history="1">
        <w:r w:rsidR="007B3590">
          <w:rPr>
            <w:rStyle w:val="Hyperlink"/>
            <w:rFonts w:ascii="Arial" w:eastAsia="Calibri" w:hAnsi="Arial" w:cs="Arial"/>
            <w:sz w:val="22"/>
            <w:szCs w:val="22"/>
            <w:u w:color="000000"/>
            <w:lang w:eastAsia="en-ZA"/>
          </w:rPr>
          <w:t>Click here to view</w:t>
        </w:r>
      </w:hyperlink>
    </w:p>
    <w:p w:rsidR="007B6A77" w:rsidRPr="002B1B65" w:rsidRDefault="007B6A77" w:rsidP="007B6A77">
      <w:pPr>
        <w:rPr>
          <w:rFonts w:ascii="Arial" w:hAnsi="Arial" w:cs="Arial"/>
          <w:b/>
          <w:sz w:val="22"/>
          <w:szCs w:val="22"/>
          <w:u w:val="single"/>
        </w:rPr>
      </w:pPr>
    </w:p>
    <w:p w:rsidR="00B02D20" w:rsidRPr="007A745C" w:rsidRDefault="007A745C" w:rsidP="004B174A">
      <w:pPr>
        <w:pStyle w:val="ListParagraph"/>
        <w:numPr>
          <w:ilvl w:val="0"/>
          <w:numId w:val="7"/>
        </w:numPr>
        <w:ind w:left="0" w:hanging="567"/>
        <w:rPr>
          <w:rFonts w:ascii="Arial" w:hAnsi="Arial" w:cs="Arial"/>
          <w:sz w:val="24"/>
          <w:szCs w:val="24"/>
        </w:rPr>
      </w:pPr>
      <w:r w:rsidRPr="007A745C">
        <w:rPr>
          <w:rFonts w:ascii="Arial" w:hAnsi="Arial" w:cs="Arial"/>
          <w:b/>
          <w:sz w:val="22"/>
          <w:szCs w:val="22"/>
          <w:u w:val="single"/>
        </w:rPr>
        <w:t>Civil and C</w:t>
      </w:r>
      <w:r w:rsidR="00711875" w:rsidRPr="007A745C">
        <w:rPr>
          <w:rFonts w:ascii="Arial" w:hAnsi="Arial" w:cs="Arial"/>
          <w:b/>
          <w:sz w:val="22"/>
          <w:szCs w:val="22"/>
          <w:u w:val="single"/>
        </w:rPr>
        <w:t>riminal charges in South Africa</w:t>
      </w:r>
    </w:p>
    <w:p w:rsidR="000B3DEF" w:rsidRDefault="007A745C" w:rsidP="00204569">
      <w:pPr>
        <w:rPr>
          <w:rFonts w:ascii="Arial" w:hAnsi="Arial" w:cs="Arial"/>
          <w:sz w:val="22"/>
          <w:szCs w:val="22"/>
        </w:rPr>
      </w:pPr>
      <w:r>
        <w:rPr>
          <w:rFonts w:ascii="Arial" w:hAnsi="Arial" w:cs="Arial"/>
          <w:sz w:val="22"/>
          <w:szCs w:val="22"/>
        </w:rPr>
        <w:t>At</w:t>
      </w:r>
      <w:r w:rsidR="000B3DEF">
        <w:rPr>
          <w:rFonts w:ascii="Arial" w:hAnsi="Arial" w:cs="Arial"/>
          <w:sz w:val="22"/>
          <w:szCs w:val="22"/>
        </w:rPr>
        <w:t xml:space="preserve">torney Richard Spoor who has represented the </w:t>
      </w:r>
      <w:r w:rsidR="00702F01">
        <w:rPr>
          <w:rFonts w:ascii="Arial" w:hAnsi="Arial" w:cs="Arial"/>
          <w:sz w:val="22"/>
          <w:szCs w:val="22"/>
        </w:rPr>
        <w:t>Bobroff’s</w:t>
      </w:r>
      <w:r w:rsidR="000B3DEF">
        <w:rPr>
          <w:rFonts w:ascii="Arial" w:hAnsi="Arial" w:cs="Arial"/>
          <w:sz w:val="22"/>
          <w:szCs w:val="22"/>
        </w:rPr>
        <w:t xml:space="preserve"> for years,</w:t>
      </w:r>
      <w:r w:rsidR="00702F01">
        <w:rPr>
          <w:rFonts w:ascii="Arial" w:hAnsi="Arial" w:cs="Arial"/>
          <w:sz w:val="22"/>
          <w:szCs w:val="22"/>
        </w:rPr>
        <w:t xml:space="preserve"> </w:t>
      </w:r>
      <w:r>
        <w:rPr>
          <w:rFonts w:ascii="Arial" w:hAnsi="Arial" w:cs="Arial"/>
          <w:sz w:val="22"/>
          <w:szCs w:val="22"/>
        </w:rPr>
        <w:t xml:space="preserve">states </w:t>
      </w:r>
      <w:r w:rsidR="000B3DEF">
        <w:rPr>
          <w:rFonts w:ascii="Arial" w:hAnsi="Arial" w:cs="Arial"/>
          <w:sz w:val="22"/>
          <w:szCs w:val="22"/>
        </w:rPr>
        <w:t>that no criminal charges have ever been brought against either of them.</w:t>
      </w:r>
    </w:p>
    <w:p w:rsidR="000B3DEF" w:rsidRDefault="000B3DEF" w:rsidP="00204569">
      <w:pPr>
        <w:rPr>
          <w:rFonts w:ascii="Arial" w:hAnsi="Arial" w:cs="Arial"/>
          <w:sz w:val="22"/>
          <w:szCs w:val="22"/>
        </w:rPr>
      </w:pPr>
      <w:r>
        <w:rPr>
          <w:rFonts w:ascii="Arial" w:hAnsi="Arial" w:cs="Arial"/>
          <w:sz w:val="22"/>
          <w:szCs w:val="22"/>
        </w:rPr>
        <w:t>In particular Mr Spoor emphasised that the fee agreements used by the practice of RBP Inc., was absolutely and fully compliant with the rulings made by the Law Society of the Northern Provinces – which was their statutory regulatory body.</w:t>
      </w:r>
    </w:p>
    <w:p w:rsidR="000B3DEF" w:rsidRDefault="000B3DEF" w:rsidP="00204569">
      <w:pPr>
        <w:rPr>
          <w:rFonts w:ascii="Arial" w:hAnsi="Arial" w:cs="Arial"/>
          <w:sz w:val="22"/>
          <w:szCs w:val="22"/>
        </w:rPr>
      </w:pPr>
      <w:r>
        <w:rPr>
          <w:rFonts w:ascii="Arial" w:hAnsi="Arial" w:cs="Arial"/>
          <w:sz w:val="22"/>
          <w:szCs w:val="22"/>
        </w:rPr>
        <w:t>Further that such agreements were used by more than 74% of all the Law Society’s 16 000 members, and was the norm for more than twelve years.</w:t>
      </w:r>
    </w:p>
    <w:p w:rsidR="007B6A77" w:rsidRPr="002B1B65" w:rsidRDefault="0063117F" w:rsidP="002B1B65">
      <w:pPr>
        <w:pStyle w:val="ListParagraph"/>
        <w:numPr>
          <w:ilvl w:val="0"/>
          <w:numId w:val="7"/>
        </w:numPr>
        <w:ind w:left="0" w:hanging="567"/>
        <w:rPr>
          <w:rFonts w:ascii="Arial" w:hAnsi="Arial" w:cs="Arial"/>
          <w:sz w:val="22"/>
          <w:szCs w:val="22"/>
        </w:rPr>
      </w:pPr>
      <w:r>
        <w:rPr>
          <w:rFonts w:ascii="Arial" w:eastAsia="Calibri" w:hAnsi="Arial" w:cs="Arial"/>
          <w:b/>
          <w:sz w:val="22"/>
          <w:szCs w:val="22"/>
          <w:u w:val="single"/>
        </w:rPr>
        <w:t xml:space="preserve">The allegation that Ronald Bobroff and Partners Inc. acted unethically in utilising </w:t>
      </w:r>
      <w:r w:rsidR="007B6A77" w:rsidRPr="002B1B65">
        <w:rPr>
          <w:rFonts w:ascii="Arial" w:eastAsia="Calibri" w:hAnsi="Arial" w:cs="Arial"/>
          <w:b/>
          <w:sz w:val="22"/>
          <w:szCs w:val="22"/>
          <w:u w:val="single"/>
        </w:rPr>
        <w:t>Common Law Percentage Contingency Fee Agreements – no win – no fee</w:t>
      </w:r>
    </w:p>
    <w:p w:rsidR="00C770BA" w:rsidRPr="00236A86" w:rsidRDefault="007A745C" w:rsidP="00204569">
      <w:pPr>
        <w:rPr>
          <w:rFonts w:ascii="Arial" w:eastAsia="Calibri" w:hAnsi="Arial" w:cs="Arial"/>
          <w:sz w:val="22"/>
          <w:szCs w:val="22"/>
        </w:rPr>
      </w:pPr>
      <w:r>
        <w:rPr>
          <w:rFonts w:ascii="Arial" w:eastAsia="Calibri" w:hAnsi="Arial" w:cs="Arial"/>
          <w:sz w:val="22"/>
          <w:szCs w:val="22"/>
        </w:rPr>
        <w:t>A</w:t>
      </w:r>
      <w:r w:rsidR="00C770BA" w:rsidRPr="00236A86">
        <w:rPr>
          <w:rFonts w:ascii="Arial" w:eastAsia="Calibri" w:hAnsi="Arial" w:cs="Arial"/>
          <w:sz w:val="22"/>
          <w:szCs w:val="22"/>
        </w:rPr>
        <w:t xml:space="preserve">greements between an attorney and client, in terms of which the attorney agreed to represent the client on contingency – i.e. no win-no fee, </w:t>
      </w:r>
      <w:r w:rsidR="007F2646">
        <w:rPr>
          <w:rFonts w:ascii="Arial" w:eastAsia="Calibri" w:hAnsi="Arial" w:cs="Arial"/>
          <w:sz w:val="22"/>
          <w:szCs w:val="22"/>
        </w:rPr>
        <w:t xml:space="preserve">on the basis that the attorneys fee would be calculated entirely as a percentage of damages recovered for the client, </w:t>
      </w:r>
      <w:r w:rsidR="00C770BA" w:rsidRPr="00236A86">
        <w:rPr>
          <w:rFonts w:ascii="Arial" w:eastAsia="Calibri" w:hAnsi="Arial" w:cs="Arial"/>
          <w:sz w:val="22"/>
          <w:szCs w:val="22"/>
        </w:rPr>
        <w:t xml:space="preserve">were in fact actively permitted and promoted by </w:t>
      </w:r>
      <w:r w:rsidR="007F2646">
        <w:rPr>
          <w:rFonts w:ascii="Arial" w:eastAsia="Calibri" w:hAnsi="Arial" w:cs="Arial"/>
          <w:sz w:val="22"/>
          <w:szCs w:val="22"/>
        </w:rPr>
        <w:t xml:space="preserve">the </w:t>
      </w:r>
      <w:r w:rsidR="00C770BA" w:rsidRPr="00236A86">
        <w:rPr>
          <w:rFonts w:ascii="Arial" w:eastAsia="Calibri" w:hAnsi="Arial" w:cs="Arial"/>
          <w:sz w:val="22"/>
          <w:szCs w:val="22"/>
        </w:rPr>
        <w:t>Law Society</w:t>
      </w:r>
      <w:r w:rsidR="007F2646">
        <w:rPr>
          <w:rFonts w:ascii="Arial" w:eastAsia="Calibri" w:hAnsi="Arial" w:cs="Arial"/>
          <w:sz w:val="22"/>
          <w:szCs w:val="22"/>
        </w:rPr>
        <w:t xml:space="preserve"> of the Northern Provinces, and the Free State Law Society, together regulating approximately</w:t>
      </w:r>
      <w:r w:rsidR="00C770BA" w:rsidRPr="00236A86">
        <w:rPr>
          <w:rFonts w:ascii="Arial" w:eastAsia="Calibri" w:hAnsi="Arial" w:cs="Arial"/>
          <w:sz w:val="22"/>
          <w:szCs w:val="22"/>
        </w:rPr>
        <w:t xml:space="preserve"> 70% of all South Africa’s practicing attorneys.</w:t>
      </w:r>
    </w:p>
    <w:p w:rsidR="00C770BA" w:rsidRPr="00236A86" w:rsidRDefault="00C770BA" w:rsidP="00204569">
      <w:pPr>
        <w:rPr>
          <w:rFonts w:ascii="Arial" w:eastAsia="Calibri" w:hAnsi="Arial" w:cs="Arial"/>
          <w:sz w:val="22"/>
          <w:szCs w:val="22"/>
        </w:rPr>
      </w:pPr>
      <w:r w:rsidRPr="00236A86">
        <w:rPr>
          <w:rFonts w:ascii="Arial" w:eastAsia="Calibri" w:hAnsi="Arial" w:cs="Arial"/>
          <w:sz w:val="22"/>
          <w:szCs w:val="22"/>
        </w:rPr>
        <w:t>The Law Society of the Northern Provinces (formerly the Transvaal Law Society):</w:t>
      </w:r>
    </w:p>
    <w:p w:rsidR="00C770BA" w:rsidRPr="00236A86" w:rsidRDefault="00C770BA" w:rsidP="00C770BA">
      <w:pPr>
        <w:pStyle w:val="ListParagraph"/>
        <w:numPr>
          <w:ilvl w:val="0"/>
          <w:numId w:val="3"/>
        </w:numPr>
        <w:ind w:left="0" w:hanging="567"/>
        <w:rPr>
          <w:rFonts w:ascii="Arial" w:eastAsia="Calibri" w:hAnsi="Arial" w:cs="Arial"/>
          <w:sz w:val="22"/>
          <w:szCs w:val="22"/>
        </w:rPr>
      </w:pPr>
      <w:r w:rsidRPr="00236A86">
        <w:rPr>
          <w:rFonts w:ascii="Arial" w:eastAsia="Calibri" w:hAnsi="Arial" w:cs="Arial"/>
          <w:sz w:val="22"/>
          <w:szCs w:val="22"/>
        </w:rPr>
        <w:t xml:space="preserve">published rulings in June 2002 </w:t>
      </w:r>
      <w:hyperlink r:id="rId13" w:history="1">
        <w:r w:rsidR="002B1B65" w:rsidRPr="002B1B65">
          <w:rPr>
            <w:rStyle w:val="Hyperlink"/>
            <w:rFonts w:ascii="Arial" w:eastAsia="Calibri" w:hAnsi="Arial" w:cs="Arial"/>
            <w:sz w:val="22"/>
            <w:szCs w:val="22"/>
          </w:rPr>
          <w:t>(click to view)</w:t>
        </w:r>
      </w:hyperlink>
      <w:r w:rsidRPr="00236A86">
        <w:rPr>
          <w:rFonts w:ascii="Arial" w:eastAsia="Calibri" w:hAnsi="Arial" w:cs="Arial"/>
          <w:sz w:val="22"/>
          <w:szCs w:val="22"/>
        </w:rPr>
        <w:t xml:space="preserve">and October 2003 </w:t>
      </w:r>
      <w:hyperlink r:id="rId14" w:history="1">
        <w:r w:rsidR="002B1B65" w:rsidRPr="002B1B65">
          <w:rPr>
            <w:rStyle w:val="Hyperlink"/>
            <w:rFonts w:ascii="Arial" w:eastAsia="Calibri" w:hAnsi="Arial" w:cs="Arial"/>
            <w:sz w:val="22"/>
            <w:szCs w:val="22"/>
          </w:rPr>
          <w:t>(click to view)</w:t>
        </w:r>
      </w:hyperlink>
      <w:r w:rsidRPr="00236A86">
        <w:rPr>
          <w:rFonts w:ascii="Arial" w:eastAsia="Calibri" w:hAnsi="Arial" w:cs="Arial"/>
          <w:sz w:val="22"/>
          <w:szCs w:val="22"/>
        </w:rPr>
        <w:t>to this effect,</w:t>
      </w:r>
    </w:p>
    <w:p w:rsidR="00E137EA" w:rsidRPr="00236A86" w:rsidRDefault="00C770BA" w:rsidP="00C770BA">
      <w:pPr>
        <w:pStyle w:val="ListParagraph"/>
        <w:numPr>
          <w:ilvl w:val="0"/>
          <w:numId w:val="3"/>
        </w:numPr>
        <w:ind w:left="0" w:hanging="567"/>
        <w:rPr>
          <w:rFonts w:ascii="Arial" w:eastAsia="Calibri" w:hAnsi="Arial" w:cs="Arial"/>
          <w:sz w:val="22"/>
          <w:szCs w:val="22"/>
        </w:rPr>
      </w:pPr>
      <w:proofErr w:type="gramStart"/>
      <w:r w:rsidRPr="00236A86">
        <w:rPr>
          <w:rFonts w:ascii="Arial" w:eastAsia="Calibri" w:hAnsi="Arial" w:cs="Arial"/>
          <w:sz w:val="22"/>
          <w:szCs w:val="22"/>
        </w:rPr>
        <w:t>filed</w:t>
      </w:r>
      <w:proofErr w:type="gramEnd"/>
      <w:r w:rsidRPr="00236A86">
        <w:rPr>
          <w:rFonts w:ascii="Arial" w:eastAsia="Calibri" w:hAnsi="Arial" w:cs="Arial"/>
          <w:sz w:val="22"/>
          <w:szCs w:val="22"/>
        </w:rPr>
        <w:t xml:space="preserve"> a 49 page affidavit in court, in both the </w:t>
      </w:r>
      <w:proofErr w:type="spellStart"/>
      <w:r w:rsidRPr="00236A86">
        <w:rPr>
          <w:rFonts w:ascii="Arial" w:eastAsia="Calibri" w:hAnsi="Arial" w:cs="Arial"/>
          <w:i/>
          <w:sz w:val="22"/>
          <w:szCs w:val="22"/>
        </w:rPr>
        <w:t>Monamodi</w:t>
      </w:r>
      <w:proofErr w:type="spellEnd"/>
      <w:r w:rsidRPr="00236A86">
        <w:rPr>
          <w:rFonts w:ascii="Arial" w:eastAsia="Calibri" w:hAnsi="Arial" w:cs="Arial"/>
          <w:sz w:val="22"/>
          <w:szCs w:val="22"/>
        </w:rPr>
        <w:t xml:space="preserve"> </w:t>
      </w:r>
      <w:r w:rsidR="00E137EA" w:rsidRPr="00236A86">
        <w:rPr>
          <w:rFonts w:ascii="Arial" w:eastAsia="Calibri" w:hAnsi="Arial" w:cs="Arial"/>
          <w:sz w:val="22"/>
          <w:szCs w:val="22"/>
        </w:rPr>
        <w:t xml:space="preserve">case, in which attorney Dion Goldschmidt’s Law Society compliant common law percentage contingency fee agreement </w:t>
      </w:r>
      <w:r w:rsidR="0028472A" w:rsidRPr="00236A86">
        <w:rPr>
          <w:rFonts w:ascii="Arial" w:eastAsia="Calibri" w:hAnsi="Arial" w:cs="Arial"/>
          <w:sz w:val="22"/>
          <w:szCs w:val="22"/>
        </w:rPr>
        <w:t>had been challenged</w:t>
      </w:r>
      <w:r w:rsidR="00E137EA" w:rsidRPr="00236A86">
        <w:rPr>
          <w:rFonts w:ascii="Arial" w:eastAsia="Calibri" w:hAnsi="Arial" w:cs="Arial"/>
          <w:sz w:val="22"/>
          <w:szCs w:val="22"/>
        </w:rPr>
        <w:t xml:space="preserve">, as also in the </w:t>
      </w:r>
      <w:r w:rsidR="00E137EA" w:rsidRPr="00236A86">
        <w:rPr>
          <w:rFonts w:ascii="Arial" w:eastAsia="Calibri" w:hAnsi="Arial" w:cs="Arial"/>
          <w:i/>
          <w:sz w:val="22"/>
          <w:szCs w:val="22"/>
        </w:rPr>
        <w:t>de la Guerre</w:t>
      </w:r>
      <w:r w:rsidR="00E137EA" w:rsidRPr="00236A86">
        <w:rPr>
          <w:rFonts w:ascii="Arial" w:eastAsia="Calibri" w:hAnsi="Arial" w:cs="Arial"/>
          <w:sz w:val="22"/>
          <w:szCs w:val="22"/>
        </w:rPr>
        <w:t xml:space="preserve"> matter, where RBP’s similarly Law Society compliant common law percentage contingency fee </w:t>
      </w:r>
      <w:r w:rsidR="0028472A" w:rsidRPr="00236A86">
        <w:rPr>
          <w:rFonts w:ascii="Arial" w:eastAsia="Calibri" w:hAnsi="Arial" w:cs="Arial"/>
          <w:sz w:val="22"/>
          <w:szCs w:val="22"/>
        </w:rPr>
        <w:t>had been</w:t>
      </w:r>
      <w:r w:rsidR="00E137EA" w:rsidRPr="00236A86">
        <w:rPr>
          <w:rFonts w:ascii="Arial" w:eastAsia="Calibri" w:hAnsi="Arial" w:cs="Arial"/>
          <w:sz w:val="22"/>
          <w:szCs w:val="22"/>
        </w:rPr>
        <w:t xml:space="preserve"> challenged.</w:t>
      </w:r>
    </w:p>
    <w:p w:rsidR="007B381C" w:rsidRDefault="00895330" w:rsidP="00C770BA">
      <w:pPr>
        <w:pStyle w:val="ListParagraph"/>
        <w:numPr>
          <w:ilvl w:val="0"/>
          <w:numId w:val="3"/>
        </w:numPr>
        <w:ind w:left="0" w:hanging="567"/>
        <w:rPr>
          <w:rFonts w:ascii="Arial" w:eastAsia="Calibri" w:hAnsi="Arial" w:cs="Arial"/>
          <w:sz w:val="22"/>
          <w:szCs w:val="22"/>
        </w:rPr>
      </w:pPr>
      <w:r w:rsidRPr="00236A86">
        <w:rPr>
          <w:rFonts w:ascii="Arial" w:eastAsia="Calibri" w:hAnsi="Arial" w:cs="Arial"/>
          <w:sz w:val="22"/>
          <w:szCs w:val="22"/>
        </w:rPr>
        <w:t xml:space="preserve">Emphasised </w:t>
      </w:r>
      <w:r w:rsidR="00E137EA" w:rsidRPr="00236A86">
        <w:rPr>
          <w:rFonts w:ascii="Arial" w:eastAsia="Calibri" w:hAnsi="Arial" w:cs="Arial"/>
          <w:sz w:val="22"/>
          <w:szCs w:val="22"/>
        </w:rPr>
        <w:t xml:space="preserve">the validity </w:t>
      </w:r>
      <w:r w:rsidRPr="00236A86">
        <w:rPr>
          <w:rFonts w:ascii="Arial" w:eastAsia="Calibri" w:hAnsi="Arial" w:cs="Arial"/>
          <w:sz w:val="22"/>
          <w:szCs w:val="22"/>
        </w:rPr>
        <w:t xml:space="preserve">of such agreements </w:t>
      </w:r>
      <w:r w:rsidR="00E137EA" w:rsidRPr="00236A86">
        <w:rPr>
          <w:rFonts w:ascii="Arial" w:eastAsia="Calibri" w:hAnsi="Arial" w:cs="Arial"/>
          <w:sz w:val="22"/>
          <w:szCs w:val="22"/>
        </w:rPr>
        <w:t xml:space="preserve">and </w:t>
      </w:r>
      <w:r w:rsidRPr="00236A86">
        <w:rPr>
          <w:rFonts w:ascii="Arial" w:eastAsia="Calibri" w:hAnsi="Arial" w:cs="Arial"/>
          <w:sz w:val="22"/>
          <w:szCs w:val="22"/>
        </w:rPr>
        <w:t xml:space="preserve">the </w:t>
      </w:r>
      <w:r w:rsidR="00E137EA" w:rsidRPr="00236A86">
        <w:rPr>
          <w:rFonts w:ascii="Arial" w:eastAsia="Calibri" w:hAnsi="Arial" w:cs="Arial"/>
          <w:sz w:val="22"/>
          <w:szCs w:val="22"/>
        </w:rPr>
        <w:t xml:space="preserve">public interest being served </w:t>
      </w:r>
      <w:r w:rsidRPr="00236A86">
        <w:rPr>
          <w:rFonts w:ascii="Arial" w:eastAsia="Calibri" w:hAnsi="Arial" w:cs="Arial"/>
          <w:sz w:val="22"/>
          <w:szCs w:val="22"/>
        </w:rPr>
        <w:t>in providing access to justice</w:t>
      </w:r>
      <w:r w:rsidR="007B381C">
        <w:rPr>
          <w:rFonts w:ascii="Arial" w:eastAsia="Calibri" w:hAnsi="Arial" w:cs="Arial"/>
          <w:sz w:val="22"/>
          <w:szCs w:val="22"/>
        </w:rPr>
        <w:t xml:space="preserve"> through easily understandable and practical common law contingency fee agreements</w:t>
      </w:r>
      <w:r w:rsidR="00E137EA" w:rsidRPr="00236A86">
        <w:rPr>
          <w:rFonts w:ascii="Arial" w:eastAsia="Calibri" w:hAnsi="Arial" w:cs="Arial"/>
          <w:sz w:val="22"/>
          <w:szCs w:val="22"/>
        </w:rPr>
        <w:t xml:space="preserve">, </w:t>
      </w:r>
    </w:p>
    <w:p w:rsidR="000B598B" w:rsidRDefault="00895330" w:rsidP="00492C6F">
      <w:pPr>
        <w:pStyle w:val="ListParagraph"/>
        <w:numPr>
          <w:ilvl w:val="0"/>
          <w:numId w:val="3"/>
        </w:numPr>
        <w:ind w:left="0" w:hanging="567"/>
        <w:rPr>
          <w:rFonts w:ascii="Arial" w:eastAsia="Calibri" w:hAnsi="Arial" w:cs="Arial"/>
          <w:sz w:val="22"/>
          <w:szCs w:val="22"/>
        </w:rPr>
      </w:pPr>
      <w:r w:rsidRPr="000B598B">
        <w:rPr>
          <w:rFonts w:ascii="Arial" w:eastAsia="Calibri" w:hAnsi="Arial" w:cs="Arial"/>
          <w:sz w:val="22"/>
          <w:szCs w:val="22"/>
        </w:rPr>
        <w:t xml:space="preserve">Noted that the attorney’s fee on a successful outcome of a matter would be a percentage of the damages recovered for the client – </w:t>
      </w:r>
      <w:r w:rsidR="007F2646">
        <w:rPr>
          <w:rFonts w:ascii="Arial" w:eastAsia="Calibri" w:hAnsi="Arial" w:cs="Arial"/>
          <w:sz w:val="22"/>
          <w:szCs w:val="22"/>
        </w:rPr>
        <w:t xml:space="preserve">with </w:t>
      </w:r>
      <w:r w:rsidRPr="000B598B">
        <w:rPr>
          <w:rFonts w:ascii="Arial" w:eastAsia="Calibri" w:hAnsi="Arial" w:cs="Arial"/>
          <w:sz w:val="22"/>
          <w:szCs w:val="22"/>
        </w:rPr>
        <w:t xml:space="preserve">25% </w:t>
      </w:r>
      <w:r w:rsidR="007F2646">
        <w:rPr>
          <w:rFonts w:ascii="Arial" w:eastAsia="Calibri" w:hAnsi="Arial" w:cs="Arial"/>
          <w:sz w:val="22"/>
          <w:szCs w:val="22"/>
        </w:rPr>
        <w:t>serving as a guideline,</w:t>
      </w:r>
    </w:p>
    <w:p w:rsidR="007F2646" w:rsidRDefault="00C37CFB" w:rsidP="00492C6F">
      <w:pPr>
        <w:pStyle w:val="ListParagraph"/>
        <w:numPr>
          <w:ilvl w:val="0"/>
          <w:numId w:val="3"/>
        </w:numPr>
        <w:ind w:left="0" w:hanging="567"/>
        <w:rPr>
          <w:rFonts w:ascii="Arial" w:eastAsia="Calibri" w:hAnsi="Arial" w:cs="Arial"/>
          <w:sz w:val="22"/>
          <w:szCs w:val="22"/>
        </w:rPr>
      </w:pPr>
      <w:r>
        <w:rPr>
          <w:rFonts w:ascii="Arial" w:eastAsia="Calibri" w:hAnsi="Arial" w:cs="Arial"/>
          <w:sz w:val="22"/>
          <w:szCs w:val="22"/>
        </w:rPr>
        <w:t>Conducted a s</w:t>
      </w:r>
      <w:r w:rsidR="007F2646">
        <w:rPr>
          <w:rFonts w:ascii="Arial" w:eastAsia="Calibri" w:hAnsi="Arial" w:cs="Arial"/>
          <w:sz w:val="22"/>
          <w:szCs w:val="22"/>
        </w:rPr>
        <w:t xml:space="preserve">urvey of the extent to which its members utilised common law percentage contingency fee agreements, </w:t>
      </w:r>
      <w:r>
        <w:rPr>
          <w:rFonts w:ascii="Arial" w:eastAsia="Calibri" w:hAnsi="Arial" w:cs="Arial"/>
          <w:sz w:val="22"/>
          <w:szCs w:val="22"/>
        </w:rPr>
        <w:t xml:space="preserve">and which survey </w:t>
      </w:r>
      <w:bookmarkStart w:id="0" w:name="_GoBack"/>
      <w:bookmarkEnd w:id="0"/>
      <w:r w:rsidR="007F2646">
        <w:rPr>
          <w:rFonts w:ascii="Arial" w:eastAsia="Calibri" w:hAnsi="Arial" w:cs="Arial"/>
          <w:sz w:val="22"/>
          <w:szCs w:val="22"/>
        </w:rPr>
        <w:t xml:space="preserve">indicated that more than 74% of its members </w:t>
      </w:r>
      <w:r w:rsidR="007F2646" w:rsidRPr="007F2646">
        <w:rPr>
          <w:rFonts w:ascii="Arial" w:eastAsia="Calibri" w:hAnsi="Arial" w:cs="Arial"/>
          <w:b/>
          <w:sz w:val="22"/>
          <w:szCs w:val="22"/>
        </w:rPr>
        <w:t>only</w:t>
      </w:r>
      <w:r w:rsidR="007F2646">
        <w:rPr>
          <w:rFonts w:ascii="Arial" w:eastAsia="Calibri" w:hAnsi="Arial" w:cs="Arial"/>
          <w:sz w:val="22"/>
          <w:szCs w:val="22"/>
        </w:rPr>
        <w:t xml:space="preserve"> used such agreements in personal injury claims,</w:t>
      </w:r>
    </w:p>
    <w:p w:rsidR="00ED7368" w:rsidRPr="000B598B" w:rsidRDefault="00DB6143" w:rsidP="00492C6F">
      <w:pPr>
        <w:pStyle w:val="ListParagraph"/>
        <w:numPr>
          <w:ilvl w:val="0"/>
          <w:numId w:val="3"/>
        </w:numPr>
        <w:ind w:left="0" w:hanging="567"/>
        <w:rPr>
          <w:rFonts w:ascii="Arial" w:eastAsia="Calibri" w:hAnsi="Arial" w:cs="Arial"/>
          <w:sz w:val="22"/>
          <w:szCs w:val="22"/>
        </w:rPr>
      </w:pPr>
      <w:r w:rsidRPr="000B598B">
        <w:rPr>
          <w:rFonts w:ascii="Arial" w:eastAsia="Calibri" w:hAnsi="Arial" w:cs="Arial"/>
          <w:sz w:val="22"/>
          <w:szCs w:val="22"/>
        </w:rPr>
        <w:lastRenderedPageBreak/>
        <w:t xml:space="preserve">Further noted that such fee agreements were the norm in the United States of America, </w:t>
      </w:r>
      <w:r w:rsidR="007B381C" w:rsidRPr="000B598B">
        <w:rPr>
          <w:rFonts w:ascii="Arial" w:eastAsia="Calibri" w:hAnsi="Arial" w:cs="Arial"/>
          <w:sz w:val="22"/>
          <w:szCs w:val="22"/>
        </w:rPr>
        <w:t>when it stated:</w:t>
      </w:r>
    </w:p>
    <w:p w:rsidR="007B381C" w:rsidRDefault="007B381C" w:rsidP="007B381C">
      <w:pPr>
        <w:pStyle w:val="ListParagraph"/>
        <w:ind w:left="0"/>
        <w:rPr>
          <w:rFonts w:ascii="Arial" w:eastAsia="Calibri" w:hAnsi="Arial" w:cs="Arial"/>
          <w:sz w:val="22"/>
          <w:szCs w:val="22"/>
        </w:rPr>
      </w:pPr>
      <w:r>
        <w:rPr>
          <w:rFonts w:ascii="Arial" w:eastAsia="Calibri" w:hAnsi="Arial" w:cs="Arial"/>
          <w:sz w:val="22"/>
          <w:szCs w:val="22"/>
        </w:rPr>
        <w:t xml:space="preserve">“That consequent upon decades of screening on South African television and cinema circuits of American legal programs depicting various forms  of contingency fee litigation , for example Erin </w:t>
      </w:r>
      <w:proofErr w:type="spellStart"/>
      <w:r>
        <w:rPr>
          <w:rFonts w:ascii="Arial" w:eastAsia="Calibri" w:hAnsi="Arial" w:cs="Arial"/>
          <w:sz w:val="22"/>
          <w:szCs w:val="22"/>
        </w:rPr>
        <w:t>Brokovitch</w:t>
      </w:r>
      <w:proofErr w:type="spellEnd"/>
      <w:r>
        <w:rPr>
          <w:rFonts w:ascii="Arial" w:eastAsia="Calibri" w:hAnsi="Arial" w:cs="Arial"/>
          <w:sz w:val="22"/>
          <w:szCs w:val="22"/>
        </w:rPr>
        <w:t>, A Civil trial and others the South African public have become exposed to the concept of the simple, fair and workable American Percentage Contingency Fee Agreements. The Law Society has in turn been informed by many of its members</w:t>
      </w:r>
      <w:r w:rsidR="00FD5699">
        <w:rPr>
          <w:rFonts w:ascii="Arial" w:eastAsia="Calibri" w:hAnsi="Arial" w:cs="Arial"/>
          <w:sz w:val="22"/>
          <w:szCs w:val="22"/>
        </w:rPr>
        <w:t xml:space="preserve"> </w:t>
      </w:r>
      <w:r>
        <w:rPr>
          <w:rFonts w:ascii="Arial" w:eastAsia="Calibri" w:hAnsi="Arial" w:cs="Arial"/>
          <w:sz w:val="22"/>
          <w:szCs w:val="22"/>
        </w:rPr>
        <w:t>that clients request that members enter into such agreements, rather than the complicated agreement provided for in terms of the Contingency Fees Act after the details of the agreement in terms of the aforesaid Contingency Fees Act have been discussed with clients”.</w:t>
      </w:r>
      <w:r w:rsidR="007F2646">
        <w:rPr>
          <w:rFonts w:ascii="Arial" w:eastAsia="Calibri" w:hAnsi="Arial" w:cs="Arial"/>
          <w:sz w:val="22"/>
          <w:szCs w:val="22"/>
        </w:rPr>
        <w:t xml:space="preserve"> </w:t>
      </w:r>
      <w:hyperlink r:id="rId15" w:history="1">
        <w:proofErr w:type="gramStart"/>
        <w:r w:rsidR="0052361C" w:rsidRPr="0052361C">
          <w:rPr>
            <w:rStyle w:val="Hyperlink"/>
            <w:rFonts w:ascii="Arial" w:eastAsia="Calibri" w:hAnsi="Arial" w:cs="Arial"/>
            <w:sz w:val="22"/>
            <w:szCs w:val="22"/>
          </w:rPr>
          <w:t>click</w:t>
        </w:r>
        <w:proofErr w:type="gramEnd"/>
        <w:r w:rsidR="0052361C" w:rsidRPr="0052361C">
          <w:rPr>
            <w:rStyle w:val="Hyperlink"/>
            <w:rFonts w:ascii="Arial" w:eastAsia="Calibri" w:hAnsi="Arial" w:cs="Arial"/>
            <w:sz w:val="22"/>
            <w:szCs w:val="22"/>
          </w:rPr>
          <w:t xml:space="preserve"> to view</w:t>
        </w:r>
      </w:hyperlink>
    </w:p>
    <w:p w:rsidR="007B381C" w:rsidRPr="00236A86" w:rsidRDefault="007B381C" w:rsidP="007B381C">
      <w:pPr>
        <w:pStyle w:val="ListParagraph"/>
        <w:ind w:left="0"/>
        <w:rPr>
          <w:rFonts w:ascii="Arial" w:eastAsia="Calibri" w:hAnsi="Arial" w:cs="Arial"/>
          <w:sz w:val="22"/>
          <w:szCs w:val="22"/>
        </w:rPr>
      </w:pPr>
    </w:p>
    <w:p w:rsidR="00895330" w:rsidRPr="00236A86" w:rsidRDefault="00895330" w:rsidP="00204569">
      <w:pPr>
        <w:rPr>
          <w:rFonts w:ascii="Arial" w:eastAsia="Calibri" w:hAnsi="Arial" w:cs="Arial"/>
          <w:sz w:val="22"/>
          <w:szCs w:val="22"/>
        </w:rPr>
      </w:pPr>
      <w:r w:rsidRPr="00236A86">
        <w:rPr>
          <w:rFonts w:ascii="Arial" w:eastAsia="Calibri" w:hAnsi="Arial" w:cs="Arial"/>
          <w:sz w:val="22"/>
          <w:szCs w:val="22"/>
        </w:rPr>
        <w:t>We have also been provided with a copy of a letter from the Law Society dated 12 October 2011, to judge Willem van der Merwe</w:t>
      </w:r>
      <w:r w:rsidR="0052361C">
        <w:rPr>
          <w:rFonts w:ascii="Arial" w:eastAsia="Calibri" w:hAnsi="Arial" w:cs="Arial"/>
          <w:sz w:val="22"/>
          <w:szCs w:val="22"/>
        </w:rPr>
        <w:t xml:space="preserve"> </w:t>
      </w:r>
      <w:hyperlink r:id="rId16" w:history="1">
        <w:r w:rsidR="0052361C" w:rsidRPr="0052361C">
          <w:rPr>
            <w:rStyle w:val="Hyperlink"/>
            <w:rFonts w:ascii="Arial" w:eastAsia="Calibri" w:hAnsi="Arial" w:cs="Arial"/>
            <w:sz w:val="22"/>
            <w:szCs w:val="22"/>
          </w:rPr>
          <w:t>(click to view)</w:t>
        </w:r>
      </w:hyperlink>
      <w:r w:rsidRPr="00236A86">
        <w:rPr>
          <w:rFonts w:ascii="Arial" w:eastAsia="Calibri" w:hAnsi="Arial" w:cs="Arial"/>
          <w:sz w:val="22"/>
          <w:szCs w:val="22"/>
        </w:rPr>
        <w:t>, then deputy judge president of the Gauteng High Court, and in which the Law Society states as follows:</w:t>
      </w:r>
    </w:p>
    <w:p w:rsidR="00895330" w:rsidRPr="007F2646" w:rsidRDefault="00895330" w:rsidP="00895330">
      <w:pPr>
        <w:rPr>
          <w:rFonts w:ascii="Arial" w:eastAsia="Calibri" w:hAnsi="Arial" w:cs="Arial"/>
          <w:b/>
          <w:sz w:val="22"/>
          <w:szCs w:val="22"/>
        </w:rPr>
      </w:pPr>
      <w:r w:rsidRPr="00236A86">
        <w:rPr>
          <w:rFonts w:ascii="Arial" w:eastAsia="Calibri" w:hAnsi="Arial" w:cs="Arial"/>
          <w:sz w:val="22"/>
          <w:szCs w:val="22"/>
        </w:rPr>
        <w:t>“</w:t>
      </w:r>
      <w:r w:rsidRPr="007F2646">
        <w:rPr>
          <w:rFonts w:ascii="Arial" w:eastAsia="Calibri" w:hAnsi="Arial" w:cs="Arial"/>
          <w:b/>
          <w:sz w:val="22"/>
          <w:szCs w:val="22"/>
        </w:rPr>
        <w:t>The Council has been of the view since 2002 and remains of the view that it will not be unprofessional conduct for attorneys to make use of common law contingency fee agreements outside the Act. Whilst the Council published suggested guidelines for such common law agreements, the guidelines were simply that i.e. guideline, and did not seek to prescribe what a common law agreement could or could not include”.</w:t>
      </w:r>
    </w:p>
    <w:p w:rsidR="00895330" w:rsidRPr="007F2646" w:rsidRDefault="00895330" w:rsidP="00895330">
      <w:pPr>
        <w:rPr>
          <w:rFonts w:ascii="Arial" w:eastAsia="Calibri" w:hAnsi="Arial" w:cs="Arial"/>
          <w:b/>
          <w:sz w:val="22"/>
          <w:szCs w:val="22"/>
        </w:rPr>
      </w:pPr>
      <w:r w:rsidRPr="007F2646">
        <w:rPr>
          <w:rFonts w:ascii="Arial" w:eastAsia="Calibri" w:hAnsi="Arial" w:cs="Arial"/>
          <w:b/>
          <w:sz w:val="22"/>
          <w:szCs w:val="22"/>
        </w:rPr>
        <w:t xml:space="preserve">“For example, although no minimum or maximum percentage is prescribed and given that </w:t>
      </w:r>
      <w:r w:rsidRPr="007F2646">
        <w:rPr>
          <w:rFonts w:ascii="Arial" w:eastAsia="Calibri" w:hAnsi="Arial" w:cs="Arial"/>
          <w:b/>
          <w:sz w:val="22"/>
          <w:szCs w:val="22"/>
          <w:u w:val="single"/>
        </w:rPr>
        <w:t>attorneys and their clients are free to negotiate a contract in the same way as any other contract between competent parties</w:t>
      </w:r>
      <w:r w:rsidRPr="007F2646">
        <w:rPr>
          <w:rFonts w:ascii="Arial" w:eastAsia="Calibri" w:hAnsi="Arial" w:cs="Arial"/>
          <w:b/>
          <w:sz w:val="22"/>
          <w:szCs w:val="22"/>
        </w:rPr>
        <w:t xml:space="preserve">, we indicated to our members that should the 25% cap referred to in the Attorneys Act, be exceeded, it will have to be justified, having regard to the various aspects which will have to be considered. This will inter alia include the complexity of the matter, the overhead cost structure of the firm, the extent off the disbursements to be covered by the attorney, the anticipated period that the attorney would have to carry such disbursements and wait for payment of fees, as well as other criteria such as those referred to in Rule 80 of the Law Society’s rules”. </w:t>
      </w:r>
    </w:p>
    <w:p w:rsidR="00895330" w:rsidRDefault="00DB6143" w:rsidP="00895330">
      <w:pPr>
        <w:rPr>
          <w:rFonts w:ascii="Arial" w:eastAsia="Calibri" w:hAnsi="Arial" w:cs="Arial"/>
          <w:sz w:val="22"/>
          <w:szCs w:val="22"/>
        </w:rPr>
      </w:pPr>
      <w:r w:rsidRPr="00236A86">
        <w:rPr>
          <w:rFonts w:ascii="Arial" w:eastAsia="Calibri" w:hAnsi="Arial" w:cs="Arial"/>
          <w:sz w:val="22"/>
          <w:szCs w:val="22"/>
        </w:rPr>
        <w:t xml:space="preserve">It is therefore clear that the </w:t>
      </w:r>
      <w:r w:rsidR="007F2646">
        <w:rPr>
          <w:rFonts w:ascii="Arial" w:eastAsia="Calibri" w:hAnsi="Arial" w:cs="Arial"/>
          <w:sz w:val="22"/>
          <w:szCs w:val="22"/>
        </w:rPr>
        <w:t xml:space="preserve">common law </w:t>
      </w:r>
      <w:r w:rsidRPr="00236A86">
        <w:rPr>
          <w:rFonts w:ascii="Arial" w:eastAsia="Calibri" w:hAnsi="Arial" w:cs="Arial"/>
          <w:sz w:val="22"/>
          <w:szCs w:val="22"/>
        </w:rPr>
        <w:t>percentage contingency fee</w:t>
      </w:r>
      <w:r w:rsidR="007F2646">
        <w:rPr>
          <w:rFonts w:ascii="Arial" w:eastAsia="Calibri" w:hAnsi="Arial" w:cs="Arial"/>
          <w:sz w:val="22"/>
          <w:szCs w:val="22"/>
        </w:rPr>
        <w:t xml:space="preserve"> agreements used</w:t>
      </w:r>
      <w:r w:rsidRPr="00236A86">
        <w:rPr>
          <w:rFonts w:ascii="Arial" w:eastAsia="Calibri" w:hAnsi="Arial" w:cs="Arial"/>
          <w:sz w:val="22"/>
          <w:szCs w:val="22"/>
        </w:rPr>
        <w:t xml:space="preserve"> by </w:t>
      </w:r>
      <w:r w:rsidR="007F2646">
        <w:rPr>
          <w:rFonts w:ascii="Arial" w:eastAsia="Calibri" w:hAnsi="Arial" w:cs="Arial"/>
          <w:sz w:val="22"/>
          <w:szCs w:val="22"/>
        </w:rPr>
        <w:t>Ronald Bobroff and Partners</w:t>
      </w:r>
      <w:r w:rsidRPr="00236A86">
        <w:rPr>
          <w:rFonts w:ascii="Arial" w:eastAsia="Calibri" w:hAnsi="Arial" w:cs="Arial"/>
          <w:sz w:val="22"/>
          <w:szCs w:val="22"/>
        </w:rPr>
        <w:t>, were</w:t>
      </w:r>
      <w:r w:rsidR="007F2646">
        <w:rPr>
          <w:rFonts w:ascii="Arial" w:eastAsia="Calibri" w:hAnsi="Arial" w:cs="Arial"/>
          <w:sz w:val="22"/>
          <w:szCs w:val="22"/>
        </w:rPr>
        <w:t xml:space="preserve"> </w:t>
      </w:r>
      <w:r w:rsidRPr="00236A86">
        <w:rPr>
          <w:rFonts w:ascii="Arial" w:eastAsia="Calibri" w:hAnsi="Arial" w:cs="Arial"/>
          <w:sz w:val="22"/>
          <w:szCs w:val="22"/>
        </w:rPr>
        <w:t>ethical</w:t>
      </w:r>
      <w:r w:rsidR="007F2646">
        <w:rPr>
          <w:rFonts w:ascii="Arial" w:eastAsia="Calibri" w:hAnsi="Arial" w:cs="Arial"/>
          <w:sz w:val="22"/>
          <w:szCs w:val="22"/>
        </w:rPr>
        <w:t>ly</w:t>
      </w:r>
      <w:r w:rsidRPr="00236A86">
        <w:rPr>
          <w:rFonts w:ascii="Arial" w:eastAsia="Calibri" w:hAnsi="Arial" w:cs="Arial"/>
          <w:sz w:val="22"/>
          <w:szCs w:val="22"/>
        </w:rPr>
        <w:t xml:space="preserve"> and </w:t>
      </w:r>
      <w:r w:rsidR="007F2646">
        <w:rPr>
          <w:rFonts w:ascii="Arial" w:eastAsia="Calibri" w:hAnsi="Arial" w:cs="Arial"/>
          <w:sz w:val="22"/>
          <w:szCs w:val="22"/>
        </w:rPr>
        <w:t xml:space="preserve">regulatory </w:t>
      </w:r>
      <w:r w:rsidRPr="00236A86">
        <w:rPr>
          <w:rFonts w:ascii="Arial" w:eastAsia="Calibri" w:hAnsi="Arial" w:cs="Arial"/>
          <w:sz w:val="22"/>
          <w:szCs w:val="22"/>
        </w:rPr>
        <w:t>compliant with the Law Society’s rulings and guidelines.</w:t>
      </w:r>
    </w:p>
    <w:p w:rsidR="00B351D4" w:rsidRDefault="00B351D4" w:rsidP="00895330">
      <w:pPr>
        <w:rPr>
          <w:rFonts w:ascii="Arial" w:eastAsia="Calibri" w:hAnsi="Arial" w:cs="Arial"/>
          <w:sz w:val="22"/>
          <w:szCs w:val="22"/>
        </w:rPr>
      </w:pPr>
    </w:p>
    <w:p w:rsidR="00ED7368" w:rsidRPr="002B1B65" w:rsidRDefault="00ED7368" w:rsidP="002B1B65">
      <w:pPr>
        <w:pStyle w:val="ListParagraph"/>
        <w:numPr>
          <w:ilvl w:val="0"/>
          <w:numId w:val="7"/>
        </w:numPr>
        <w:ind w:left="0" w:hanging="567"/>
        <w:rPr>
          <w:rFonts w:ascii="Arial" w:eastAsia="Calibri" w:hAnsi="Arial" w:cs="Arial"/>
          <w:b/>
          <w:sz w:val="22"/>
          <w:szCs w:val="22"/>
          <w:u w:val="single"/>
        </w:rPr>
      </w:pPr>
      <w:r w:rsidRPr="002B1B65">
        <w:rPr>
          <w:rFonts w:ascii="Arial" w:eastAsia="Calibri" w:hAnsi="Arial" w:cs="Arial"/>
          <w:b/>
          <w:sz w:val="22"/>
          <w:szCs w:val="22"/>
          <w:u w:val="single"/>
        </w:rPr>
        <w:t>Alleged unprofessional conduct</w:t>
      </w:r>
    </w:p>
    <w:p w:rsidR="00B351D4" w:rsidRDefault="00204569" w:rsidP="00204569">
      <w:pPr>
        <w:rPr>
          <w:rFonts w:ascii="Arial" w:eastAsia="Calibri" w:hAnsi="Arial" w:cs="Arial"/>
          <w:sz w:val="22"/>
          <w:szCs w:val="22"/>
        </w:rPr>
      </w:pPr>
      <w:r w:rsidRPr="00236A86">
        <w:rPr>
          <w:rFonts w:ascii="Arial" w:eastAsia="Calibri" w:hAnsi="Arial" w:cs="Arial"/>
          <w:sz w:val="22"/>
          <w:szCs w:val="22"/>
        </w:rPr>
        <w:t xml:space="preserve">We have been </w:t>
      </w:r>
      <w:r w:rsidR="00ED7368" w:rsidRPr="00236A86">
        <w:rPr>
          <w:rFonts w:ascii="Arial" w:eastAsia="Calibri" w:hAnsi="Arial" w:cs="Arial"/>
          <w:sz w:val="22"/>
          <w:szCs w:val="22"/>
        </w:rPr>
        <w:t xml:space="preserve">supplied with copies of letters issued by the </w:t>
      </w:r>
      <w:r w:rsidRPr="00236A86">
        <w:rPr>
          <w:rFonts w:ascii="Arial" w:eastAsia="Calibri" w:hAnsi="Arial" w:cs="Arial"/>
          <w:sz w:val="22"/>
          <w:szCs w:val="22"/>
        </w:rPr>
        <w:t xml:space="preserve">executive director of the Law Society of the Northern Provinces, Mr. </w:t>
      </w:r>
      <w:proofErr w:type="spellStart"/>
      <w:r w:rsidRPr="00236A86">
        <w:rPr>
          <w:rFonts w:ascii="Arial" w:eastAsia="Calibri" w:hAnsi="Arial" w:cs="Arial"/>
          <w:sz w:val="22"/>
          <w:szCs w:val="22"/>
        </w:rPr>
        <w:t>T</w:t>
      </w:r>
      <w:r w:rsidR="00A30F62" w:rsidRPr="00236A86">
        <w:rPr>
          <w:rFonts w:ascii="Arial" w:eastAsia="Calibri" w:hAnsi="Arial" w:cs="Arial"/>
          <w:sz w:val="22"/>
          <w:szCs w:val="22"/>
        </w:rPr>
        <w:t>hinus</w:t>
      </w:r>
      <w:proofErr w:type="spellEnd"/>
      <w:r w:rsidR="00A30F62" w:rsidRPr="00236A86">
        <w:rPr>
          <w:rFonts w:ascii="Arial" w:eastAsia="Calibri" w:hAnsi="Arial" w:cs="Arial"/>
          <w:sz w:val="22"/>
          <w:szCs w:val="22"/>
        </w:rPr>
        <w:t xml:space="preserve"> </w:t>
      </w:r>
      <w:proofErr w:type="spellStart"/>
      <w:r w:rsidR="00A30F62" w:rsidRPr="00236A86">
        <w:rPr>
          <w:rFonts w:ascii="Arial" w:eastAsia="Calibri" w:hAnsi="Arial" w:cs="Arial"/>
          <w:sz w:val="22"/>
          <w:szCs w:val="22"/>
        </w:rPr>
        <w:t>Grobler</w:t>
      </w:r>
      <w:proofErr w:type="spellEnd"/>
      <w:r w:rsidRPr="00236A86">
        <w:rPr>
          <w:rFonts w:ascii="Arial" w:eastAsia="Calibri" w:hAnsi="Arial" w:cs="Arial"/>
          <w:sz w:val="22"/>
          <w:szCs w:val="22"/>
        </w:rPr>
        <w:t>,</w:t>
      </w:r>
      <w:r w:rsidR="00ED7368" w:rsidRPr="00236A86">
        <w:rPr>
          <w:rFonts w:ascii="Arial" w:eastAsia="Calibri" w:hAnsi="Arial" w:cs="Arial"/>
          <w:sz w:val="22"/>
          <w:szCs w:val="22"/>
        </w:rPr>
        <w:t xml:space="preserve"> dated 1 February 2013 </w:t>
      </w:r>
      <w:hyperlink r:id="rId17" w:history="1">
        <w:r w:rsidR="00241191" w:rsidRPr="00241191">
          <w:rPr>
            <w:rStyle w:val="Hyperlink"/>
            <w:rFonts w:ascii="Arial" w:eastAsia="Calibri" w:hAnsi="Arial" w:cs="Arial"/>
            <w:sz w:val="22"/>
            <w:szCs w:val="22"/>
          </w:rPr>
          <w:t>(click to view)</w:t>
        </w:r>
      </w:hyperlink>
      <w:r w:rsidR="00ED7368" w:rsidRPr="00236A86">
        <w:rPr>
          <w:rFonts w:ascii="Arial" w:eastAsia="Calibri" w:hAnsi="Arial" w:cs="Arial"/>
          <w:sz w:val="22"/>
          <w:szCs w:val="22"/>
        </w:rPr>
        <w:t xml:space="preserve">and </w:t>
      </w:r>
      <w:r w:rsidR="006444BF">
        <w:rPr>
          <w:rFonts w:ascii="Arial" w:eastAsia="Calibri" w:hAnsi="Arial" w:cs="Arial"/>
          <w:sz w:val="22"/>
          <w:szCs w:val="22"/>
        </w:rPr>
        <w:t xml:space="preserve">subsequently confirmed this again on </w:t>
      </w:r>
      <w:r w:rsidR="00ED7368" w:rsidRPr="00236A86">
        <w:rPr>
          <w:rFonts w:ascii="Arial" w:eastAsia="Calibri" w:hAnsi="Arial" w:cs="Arial"/>
          <w:sz w:val="22"/>
          <w:szCs w:val="22"/>
        </w:rPr>
        <w:t>16 October 20</w:t>
      </w:r>
      <w:r w:rsidR="00F821AE" w:rsidRPr="00236A86">
        <w:rPr>
          <w:rFonts w:ascii="Arial" w:eastAsia="Calibri" w:hAnsi="Arial" w:cs="Arial"/>
          <w:sz w:val="22"/>
          <w:szCs w:val="22"/>
        </w:rPr>
        <w:t xml:space="preserve">18 </w:t>
      </w:r>
      <w:hyperlink r:id="rId18" w:history="1">
        <w:r w:rsidR="00984110" w:rsidRPr="00984110">
          <w:rPr>
            <w:rStyle w:val="Hyperlink"/>
            <w:rFonts w:ascii="Arial" w:eastAsia="Calibri" w:hAnsi="Arial" w:cs="Arial"/>
            <w:sz w:val="22"/>
            <w:szCs w:val="22"/>
          </w:rPr>
          <w:t>(click to view)</w:t>
        </w:r>
      </w:hyperlink>
      <w:r w:rsidRPr="00236A86">
        <w:rPr>
          <w:rFonts w:ascii="Arial" w:eastAsia="Calibri" w:hAnsi="Arial" w:cs="Arial"/>
          <w:sz w:val="22"/>
          <w:szCs w:val="22"/>
        </w:rPr>
        <w:t>in which he states</w:t>
      </w:r>
      <w:r w:rsidR="00A30F62" w:rsidRPr="00236A86">
        <w:rPr>
          <w:rFonts w:ascii="Arial" w:eastAsia="Calibri" w:hAnsi="Arial" w:cs="Arial"/>
          <w:sz w:val="22"/>
          <w:szCs w:val="22"/>
        </w:rPr>
        <w:t xml:space="preserve"> as follows: </w:t>
      </w:r>
      <w:r w:rsidR="00A30F62" w:rsidRPr="00236A86">
        <w:rPr>
          <w:rFonts w:ascii="Arial" w:hAnsi="Arial" w:cs="Arial"/>
          <w:sz w:val="22"/>
          <w:szCs w:val="22"/>
          <w:lang w:val="en-US"/>
        </w:rPr>
        <w:t>“</w:t>
      </w:r>
      <w:r w:rsidR="00A30F62" w:rsidRPr="004F755C">
        <w:rPr>
          <w:rFonts w:ascii="Arial" w:hAnsi="Arial" w:cs="Arial"/>
          <w:b/>
          <w:sz w:val="22"/>
          <w:szCs w:val="22"/>
          <w:lang w:val="en-US"/>
        </w:rPr>
        <w:t>I hereby wish to confirm that I have perused the disciplinary records of the Law Society and that the partners of the above practice (Mr. R Bobroff, Mr. D R Bobroff and Mr. S Bezuidenhout) have, since the practice was established on 1 October 1975, never been found guilty of unprofessional conduct by the Law Society</w:t>
      </w:r>
      <w:r w:rsidR="00A30F62" w:rsidRPr="00236A86">
        <w:rPr>
          <w:rFonts w:ascii="Arial" w:hAnsi="Arial" w:cs="Arial"/>
          <w:sz w:val="22"/>
          <w:szCs w:val="22"/>
          <w:lang w:val="en-US"/>
        </w:rPr>
        <w:t xml:space="preserve">” </w:t>
      </w:r>
      <w:r w:rsidR="00A30F62" w:rsidRPr="00236A86">
        <w:rPr>
          <w:rFonts w:ascii="Arial" w:eastAsia="Calibri" w:hAnsi="Arial" w:cs="Arial"/>
          <w:sz w:val="22"/>
          <w:szCs w:val="22"/>
        </w:rPr>
        <w:t>.</w:t>
      </w:r>
    </w:p>
    <w:p w:rsidR="00332FC1" w:rsidRPr="00236A86" w:rsidRDefault="00332FC1" w:rsidP="00F821AE">
      <w:pPr>
        <w:rPr>
          <w:rFonts w:ascii="Arial" w:hAnsi="Arial" w:cs="Arial"/>
          <w:sz w:val="22"/>
          <w:szCs w:val="22"/>
        </w:rPr>
      </w:pPr>
    </w:p>
    <w:p w:rsidR="009F10DE" w:rsidRPr="00236A86" w:rsidRDefault="009F10DE">
      <w:pPr>
        <w:rPr>
          <w:rFonts w:ascii="Arial" w:hAnsi="Arial" w:cs="Arial"/>
          <w:sz w:val="22"/>
          <w:szCs w:val="22"/>
        </w:rPr>
      </w:pPr>
    </w:p>
    <w:sectPr w:rsidR="009F10DE" w:rsidRPr="00236A8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693" w:rsidRDefault="00596693" w:rsidP="00643B4C">
      <w:pPr>
        <w:spacing w:after="0" w:line="240" w:lineRule="auto"/>
      </w:pPr>
      <w:r>
        <w:separator/>
      </w:r>
    </w:p>
  </w:endnote>
  <w:endnote w:type="continuationSeparator" w:id="0">
    <w:p w:rsidR="00596693" w:rsidRDefault="00596693" w:rsidP="0064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B06" w:rsidRDefault="00D85B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B06" w:rsidRDefault="00D85B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B06" w:rsidRDefault="00D85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693" w:rsidRDefault="00596693" w:rsidP="00643B4C">
      <w:pPr>
        <w:spacing w:after="0" w:line="240" w:lineRule="auto"/>
      </w:pPr>
      <w:r>
        <w:separator/>
      </w:r>
    </w:p>
  </w:footnote>
  <w:footnote w:type="continuationSeparator" w:id="0">
    <w:p w:rsidR="00596693" w:rsidRDefault="00596693" w:rsidP="00643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B06" w:rsidRDefault="00D85B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B4C" w:rsidRPr="00D85B06" w:rsidRDefault="00643B4C" w:rsidP="00D85B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B06" w:rsidRDefault="00D85B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33A08"/>
    <w:multiLevelType w:val="hybridMultilevel"/>
    <w:tmpl w:val="BB5C6D4A"/>
    <w:lvl w:ilvl="0" w:tplc="43128DCC">
      <w:start w:val="1"/>
      <w:numFmt w:val="decimal"/>
      <w:lvlText w:val="%1."/>
      <w:lvlJc w:val="left"/>
      <w:pPr>
        <w:ind w:left="720" w:hanging="360"/>
      </w:pPr>
      <w:rPr>
        <w:rFonts w:hint="default"/>
        <w:b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54012A"/>
    <w:multiLevelType w:val="hybridMultilevel"/>
    <w:tmpl w:val="D076CF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F267B9E"/>
    <w:multiLevelType w:val="hybridMultilevel"/>
    <w:tmpl w:val="825204FE"/>
    <w:lvl w:ilvl="0" w:tplc="1C090001">
      <w:start w:val="1"/>
      <w:numFmt w:val="bullet"/>
      <w:lvlText w:val=""/>
      <w:lvlJc w:val="left"/>
      <w:pPr>
        <w:ind w:left="720" w:hanging="360"/>
      </w:pPr>
      <w:rPr>
        <w:rFonts w:ascii="Symbol" w:hAnsi="Symbol" w:hint="default"/>
        <w:color w:val="2222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572A2E08"/>
    <w:multiLevelType w:val="hybridMultilevel"/>
    <w:tmpl w:val="9F227B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6DB175B5"/>
    <w:multiLevelType w:val="hybridMultilevel"/>
    <w:tmpl w:val="B6EC093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7CF04AFC"/>
    <w:multiLevelType w:val="hybridMultilevel"/>
    <w:tmpl w:val="CE1ED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6F"/>
    <w:rsid w:val="00003282"/>
    <w:rsid w:val="00053D47"/>
    <w:rsid w:val="00055A62"/>
    <w:rsid w:val="00062B5E"/>
    <w:rsid w:val="00065917"/>
    <w:rsid w:val="00096934"/>
    <w:rsid w:val="000A2645"/>
    <w:rsid w:val="000B0E52"/>
    <w:rsid w:val="000B3DEF"/>
    <w:rsid w:val="000B598B"/>
    <w:rsid w:val="000C6C02"/>
    <w:rsid w:val="0012164E"/>
    <w:rsid w:val="00126D68"/>
    <w:rsid w:val="001D76B2"/>
    <w:rsid w:val="00204569"/>
    <w:rsid w:val="00236A86"/>
    <w:rsid w:val="00241191"/>
    <w:rsid w:val="00262DE9"/>
    <w:rsid w:val="0028472A"/>
    <w:rsid w:val="002A378E"/>
    <w:rsid w:val="002B1B65"/>
    <w:rsid w:val="00301E6E"/>
    <w:rsid w:val="00305E12"/>
    <w:rsid w:val="00327C24"/>
    <w:rsid w:val="00332FC1"/>
    <w:rsid w:val="003928FE"/>
    <w:rsid w:val="004B174A"/>
    <w:rsid w:val="004C7CD5"/>
    <w:rsid w:val="004E0BA9"/>
    <w:rsid w:val="004F755C"/>
    <w:rsid w:val="005072C4"/>
    <w:rsid w:val="0052361C"/>
    <w:rsid w:val="00596693"/>
    <w:rsid w:val="005B5666"/>
    <w:rsid w:val="005D5884"/>
    <w:rsid w:val="0063117F"/>
    <w:rsid w:val="00643B4C"/>
    <w:rsid w:val="006444BF"/>
    <w:rsid w:val="006A5494"/>
    <w:rsid w:val="006A6EAE"/>
    <w:rsid w:val="006C1655"/>
    <w:rsid w:val="00702F01"/>
    <w:rsid w:val="00711875"/>
    <w:rsid w:val="00795D05"/>
    <w:rsid w:val="007A745C"/>
    <w:rsid w:val="007B3590"/>
    <w:rsid w:val="007B381C"/>
    <w:rsid w:val="007B6A77"/>
    <w:rsid w:val="007F2646"/>
    <w:rsid w:val="00835233"/>
    <w:rsid w:val="00843EFB"/>
    <w:rsid w:val="0087365C"/>
    <w:rsid w:val="00876791"/>
    <w:rsid w:val="00895330"/>
    <w:rsid w:val="00984110"/>
    <w:rsid w:val="009A16E2"/>
    <w:rsid w:val="009A5020"/>
    <w:rsid w:val="009B34C9"/>
    <w:rsid w:val="009B6654"/>
    <w:rsid w:val="009C6F98"/>
    <w:rsid w:val="009E41CB"/>
    <w:rsid w:val="009F10DE"/>
    <w:rsid w:val="00A30F62"/>
    <w:rsid w:val="00A61CA9"/>
    <w:rsid w:val="00A9315C"/>
    <w:rsid w:val="00AD707B"/>
    <w:rsid w:val="00B02D20"/>
    <w:rsid w:val="00B27CF5"/>
    <w:rsid w:val="00B351D4"/>
    <w:rsid w:val="00BF2C7D"/>
    <w:rsid w:val="00C06371"/>
    <w:rsid w:val="00C37CFB"/>
    <w:rsid w:val="00C4610E"/>
    <w:rsid w:val="00C6219A"/>
    <w:rsid w:val="00C770BA"/>
    <w:rsid w:val="00CA4E17"/>
    <w:rsid w:val="00D85B06"/>
    <w:rsid w:val="00DB6143"/>
    <w:rsid w:val="00DC06E6"/>
    <w:rsid w:val="00DC64E5"/>
    <w:rsid w:val="00DC6557"/>
    <w:rsid w:val="00E137EA"/>
    <w:rsid w:val="00E25C2A"/>
    <w:rsid w:val="00E6056F"/>
    <w:rsid w:val="00E96AEA"/>
    <w:rsid w:val="00EC231D"/>
    <w:rsid w:val="00EC564C"/>
    <w:rsid w:val="00ED7368"/>
    <w:rsid w:val="00EE4DD3"/>
    <w:rsid w:val="00F126D2"/>
    <w:rsid w:val="00F1329A"/>
    <w:rsid w:val="00F240ED"/>
    <w:rsid w:val="00F30884"/>
    <w:rsid w:val="00F34ABD"/>
    <w:rsid w:val="00F821AE"/>
    <w:rsid w:val="00FD56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CB2C9-AB3B-40AA-BEC1-46901F03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55"/>
  </w:style>
  <w:style w:type="paragraph" w:styleId="Heading1">
    <w:name w:val="heading 1"/>
    <w:basedOn w:val="Normal"/>
    <w:next w:val="Normal"/>
    <w:link w:val="Heading1Char"/>
    <w:uiPriority w:val="9"/>
    <w:qFormat/>
    <w:rsid w:val="006C165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165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165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165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165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165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165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C165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165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B4C"/>
  </w:style>
  <w:style w:type="paragraph" w:styleId="Footer">
    <w:name w:val="footer"/>
    <w:basedOn w:val="Normal"/>
    <w:link w:val="FooterChar"/>
    <w:uiPriority w:val="99"/>
    <w:unhideWhenUsed/>
    <w:rsid w:val="00643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B4C"/>
  </w:style>
  <w:style w:type="character" w:customStyle="1" w:styleId="Hyperlink0">
    <w:name w:val="Hyperlink.0"/>
    <w:basedOn w:val="DefaultParagraphFont"/>
    <w:rsid w:val="00643B4C"/>
    <w:rPr>
      <w:rFonts w:ascii="Times New Roman" w:eastAsia="Times New Roman" w:hAnsi="Times New Roman" w:cs="Times New Roman"/>
      <w:b/>
      <w:bCs/>
      <w:outline w:val="0"/>
      <w:color w:val="0563C1"/>
      <w:sz w:val="20"/>
      <w:szCs w:val="20"/>
      <w:u w:val="single" w:color="0563C1"/>
    </w:rPr>
  </w:style>
  <w:style w:type="paragraph" w:customStyle="1" w:styleId="Default">
    <w:name w:val="Default"/>
    <w:rsid w:val="00C461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5D05"/>
    <w:rPr>
      <w:color w:val="0563C1" w:themeColor="hyperlink"/>
      <w:u w:val="single"/>
    </w:rPr>
  </w:style>
  <w:style w:type="paragraph" w:styleId="ListParagraph">
    <w:name w:val="List Paragraph"/>
    <w:basedOn w:val="Normal"/>
    <w:uiPriority w:val="34"/>
    <w:qFormat/>
    <w:rsid w:val="00795D05"/>
    <w:pPr>
      <w:ind w:left="720"/>
      <w:contextualSpacing/>
    </w:pPr>
  </w:style>
  <w:style w:type="character" w:styleId="FollowedHyperlink">
    <w:name w:val="FollowedHyperlink"/>
    <w:basedOn w:val="DefaultParagraphFont"/>
    <w:uiPriority w:val="99"/>
    <w:semiHidden/>
    <w:unhideWhenUsed/>
    <w:rsid w:val="00F30884"/>
    <w:rPr>
      <w:color w:val="954F72" w:themeColor="followedHyperlink"/>
      <w:u w:val="single"/>
    </w:rPr>
  </w:style>
  <w:style w:type="character" w:customStyle="1" w:styleId="Heading1Char">
    <w:name w:val="Heading 1 Char"/>
    <w:basedOn w:val="DefaultParagraphFont"/>
    <w:link w:val="Heading1"/>
    <w:uiPriority w:val="9"/>
    <w:rsid w:val="006C16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C165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165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165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165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165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165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C165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165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165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165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C165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C165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1655"/>
    <w:rPr>
      <w:rFonts w:asciiTheme="majorHAnsi" w:eastAsiaTheme="majorEastAsia" w:hAnsiTheme="majorHAnsi" w:cstheme="majorBidi"/>
      <w:sz w:val="24"/>
      <w:szCs w:val="24"/>
    </w:rPr>
  </w:style>
  <w:style w:type="character" w:styleId="Strong">
    <w:name w:val="Strong"/>
    <w:basedOn w:val="DefaultParagraphFont"/>
    <w:uiPriority w:val="22"/>
    <w:qFormat/>
    <w:rsid w:val="006C1655"/>
    <w:rPr>
      <w:b/>
      <w:bCs/>
    </w:rPr>
  </w:style>
  <w:style w:type="character" w:styleId="Emphasis">
    <w:name w:val="Emphasis"/>
    <w:basedOn w:val="DefaultParagraphFont"/>
    <w:uiPriority w:val="20"/>
    <w:qFormat/>
    <w:rsid w:val="006C1655"/>
    <w:rPr>
      <w:i/>
      <w:iCs/>
    </w:rPr>
  </w:style>
  <w:style w:type="paragraph" w:styleId="NoSpacing">
    <w:name w:val="No Spacing"/>
    <w:uiPriority w:val="1"/>
    <w:qFormat/>
    <w:rsid w:val="006C1655"/>
    <w:pPr>
      <w:spacing w:after="0" w:line="240" w:lineRule="auto"/>
    </w:pPr>
  </w:style>
  <w:style w:type="paragraph" w:styleId="Quote">
    <w:name w:val="Quote"/>
    <w:basedOn w:val="Normal"/>
    <w:next w:val="Normal"/>
    <w:link w:val="QuoteChar"/>
    <w:uiPriority w:val="29"/>
    <w:qFormat/>
    <w:rsid w:val="006C165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1655"/>
    <w:rPr>
      <w:i/>
      <w:iCs/>
      <w:color w:val="404040" w:themeColor="text1" w:themeTint="BF"/>
    </w:rPr>
  </w:style>
  <w:style w:type="paragraph" w:styleId="IntenseQuote">
    <w:name w:val="Intense Quote"/>
    <w:basedOn w:val="Normal"/>
    <w:next w:val="Normal"/>
    <w:link w:val="IntenseQuoteChar"/>
    <w:uiPriority w:val="30"/>
    <w:qFormat/>
    <w:rsid w:val="006C165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C165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C1655"/>
    <w:rPr>
      <w:i/>
      <w:iCs/>
      <w:color w:val="404040" w:themeColor="text1" w:themeTint="BF"/>
    </w:rPr>
  </w:style>
  <w:style w:type="character" w:styleId="IntenseEmphasis">
    <w:name w:val="Intense Emphasis"/>
    <w:basedOn w:val="DefaultParagraphFont"/>
    <w:uiPriority w:val="21"/>
    <w:qFormat/>
    <w:rsid w:val="006C1655"/>
    <w:rPr>
      <w:b/>
      <w:bCs/>
      <w:i/>
      <w:iCs/>
    </w:rPr>
  </w:style>
  <w:style w:type="character" w:styleId="SubtleReference">
    <w:name w:val="Subtle Reference"/>
    <w:basedOn w:val="DefaultParagraphFont"/>
    <w:uiPriority w:val="31"/>
    <w:qFormat/>
    <w:rsid w:val="006C165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1655"/>
    <w:rPr>
      <w:b/>
      <w:bCs/>
      <w:smallCaps/>
      <w:spacing w:val="5"/>
      <w:u w:val="single"/>
    </w:rPr>
  </w:style>
  <w:style w:type="character" w:styleId="BookTitle">
    <w:name w:val="Book Title"/>
    <w:basedOn w:val="DefaultParagraphFont"/>
    <w:uiPriority w:val="33"/>
    <w:qFormat/>
    <w:rsid w:val="006C1655"/>
    <w:rPr>
      <w:b/>
      <w:bCs/>
      <w:smallCaps/>
    </w:rPr>
  </w:style>
  <w:style w:type="paragraph" w:styleId="TOCHeading">
    <w:name w:val="TOC Heading"/>
    <w:basedOn w:val="Heading1"/>
    <w:next w:val="Normal"/>
    <w:uiPriority w:val="39"/>
    <w:semiHidden/>
    <w:unhideWhenUsed/>
    <w:qFormat/>
    <w:rsid w:val="006C16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18374">
      <w:bodyDiv w:val="1"/>
      <w:marLeft w:val="0"/>
      <w:marRight w:val="0"/>
      <w:marTop w:val="0"/>
      <w:marBottom w:val="0"/>
      <w:divBdr>
        <w:top w:val="none" w:sz="0" w:space="0" w:color="auto"/>
        <w:left w:val="none" w:sz="0" w:space="0" w:color="auto"/>
        <w:bottom w:val="none" w:sz="0" w:space="0" w:color="auto"/>
        <w:right w:val="none" w:sz="0" w:space="0" w:color="auto"/>
      </w:divBdr>
    </w:div>
    <w:div w:id="1479954652">
      <w:bodyDiv w:val="1"/>
      <w:marLeft w:val="0"/>
      <w:marRight w:val="0"/>
      <w:marTop w:val="0"/>
      <w:marBottom w:val="0"/>
      <w:divBdr>
        <w:top w:val="none" w:sz="0" w:space="0" w:color="auto"/>
        <w:left w:val="none" w:sz="0" w:space="0" w:color="auto"/>
        <w:bottom w:val="none" w:sz="0" w:space="0" w:color="auto"/>
        <w:right w:val="none" w:sz="0" w:space="0" w:color="auto"/>
      </w:divBdr>
    </w:div>
    <w:div w:id="180395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roffronald.com/images/Annexes/6._Relevant_Extracts_of_Curators_report.pdf" TargetMode="External"/><Relationship Id="rId13" Type="http://schemas.openxmlformats.org/officeDocument/2006/relationships/hyperlink" Target="http://www.bobroffronald.com/images/Annexes/Annexure_RBA3_Contingency_Fee_Agreements_ruling_by_LSNP.pdf" TargetMode="External"/><Relationship Id="rId18" Type="http://schemas.openxmlformats.org/officeDocument/2006/relationships/hyperlink" Target="https://www.bobroffronald.com/images/Annexes/SAJR/Updated_letter_from_Mr_Grobler_16_October_201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broffronald.com/images/23_03_15_R_Bobroff_3-1.pdf" TargetMode="External"/><Relationship Id="rId17" Type="http://schemas.openxmlformats.org/officeDocument/2006/relationships/hyperlink" Target="http://www.bobroffronald.com/images/Annexes/Certificate_of_40_year_unblemished_record_issued_to_RBP_Inc._by_the_Law_Society_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broffronald.com/images/Annexes/Annexure_RBA12_Letter_from_Law_Society_to_the_the_Deputy_Judge_Presiden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broffronald.com/images/Email_from_Attorneys_Fidelty_Fund_dated_15_June_2020.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obroffronald.com/images/janse_extracts.pdf" TargetMode="External"/><Relationship Id="rId23" Type="http://schemas.openxmlformats.org/officeDocument/2006/relationships/header" Target="header3.xml"/><Relationship Id="rId10" Type="http://schemas.openxmlformats.org/officeDocument/2006/relationships/hyperlink" Target="https://www.bobroffronald.com/images/Latest_letter_from_Johan_van_Staden_re_no_claims_dated_4_June_2019.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broffronald.com/images/Annexes/Letter_from_Law_Society_dated_28.8.18_re_no_misappropriation.pdf" TargetMode="External"/><Relationship Id="rId14" Type="http://schemas.openxmlformats.org/officeDocument/2006/relationships/hyperlink" Target="http://www.bobroffronald.com/images/Annexes/Annexure_RBA4_Common_Law_Contingency_Fee_Agreements_Further_confirmation_of_ruling_by_LSNP_2_-_Copy.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5A2C5-8012-474C-9DDC-149E0A7A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4</cp:revision>
  <cp:lastPrinted>2024-11-11T09:03:00Z</cp:lastPrinted>
  <dcterms:created xsi:type="dcterms:W3CDTF">2024-12-02T08:44:00Z</dcterms:created>
  <dcterms:modified xsi:type="dcterms:W3CDTF">2024-12-02T10:04:00Z</dcterms:modified>
</cp:coreProperties>
</file>